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3" w:rsidRPr="00E21D71" w:rsidRDefault="006A1BB3" w:rsidP="00360DC6">
      <w:pPr>
        <w:jc w:val="center"/>
        <w:rPr>
          <w:b/>
          <w:color w:val="000000"/>
          <w:lang w:val="uk-UA" w:eastAsia="ru-RU"/>
        </w:rPr>
      </w:pPr>
      <w:r w:rsidRPr="00E21D71">
        <w:rPr>
          <w:b/>
          <w:color w:val="000000"/>
          <w:lang w:val="uk-UA" w:eastAsia="ru-RU"/>
        </w:rPr>
        <w:t>Аналіз регуляторного впливу</w:t>
      </w:r>
    </w:p>
    <w:p w:rsidR="006A1BB3" w:rsidRPr="00E21D71" w:rsidRDefault="006A1BB3" w:rsidP="00360DC6">
      <w:pPr>
        <w:ind w:firstLine="709"/>
        <w:jc w:val="both"/>
        <w:rPr>
          <w:color w:val="000000"/>
          <w:lang w:val="uk-UA" w:eastAsia="ru-RU"/>
        </w:rPr>
      </w:pPr>
    </w:p>
    <w:p w:rsidR="006A1BB3" w:rsidRPr="00E21D71" w:rsidRDefault="006A1BB3" w:rsidP="00360DC6">
      <w:pPr>
        <w:ind w:firstLine="709"/>
        <w:jc w:val="both"/>
        <w:rPr>
          <w:color w:val="000000"/>
          <w:lang w:val="uk-UA" w:eastAsia="ru-RU"/>
        </w:rPr>
      </w:pPr>
      <w:r w:rsidRPr="00E21D71">
        <w:rPr>
          <w:b/>
          <w:color w:val="000000"/>
          <w:lang w:val="uk-UA" w:eastAsia="ru-RU"/>
        </w:rPr>
        <w:t xml:space="preserve">Назва регуляторного органу: </w:t>
      </w:r>
      <w:r w:rsidR="00BF210C" w:rsidRPr="00E21D71">
        <w:rPr>
          <w:color w:val="000000"/>
          <w:lang w:val="uk-UA" w:eastAsia="ru-RU"/>
        </w:rPr>
        <w:t>Тростянецька селищна рада</w:t>
      </w:r>
    </w:p>
    <w:p w:rsidR="006A1BB3" w:rsidRPr="00E21D71" w:rsidRDefault="006A1BB3" w:rsidP="00360DC6">
      <w:pPr>
        <w:ind w:firstLine="709"/>
        <w:jc w:val="both"/>
        <w:rPr>
          <w:b/>
          <w:color w:val="000000"/>
          <w:lang w:val="uk-UA" w:eastAsia="ru-RU"/>
        </w:rPr>
      </w:pPr>
    </w:p>
    <w:p w:rsidR="006A1BB3" w:rsidRPr="00E21D71" w:rsidRDefault="006A1BB3" w:rsidP="00360DC6">
      <w:pPr>
        <w:ind w:firstLine="709"/>
        <w:jc w:val="both"/>
        <w:rPr>
          <w:color w:val="000000"/>
          <w:lang w:val="uk-UA" w:eastAsia="ru-RU"/>
        </w:rPr>
      </w:pPr>
      <w:r w:rsidRPr="00E21D71">
        <w:rPr>
          <w:b/>
          <w:color w:val="000000"/>
          <w:lang w:val="uk-UA" w:eastAsia="ru-RU"/>
        </w:rPr>
        <w:t xml:space="preserve">Назва документа: </w:t>
      </w:r>
      <w:r w:rsidRPr="00E21D71">
        <w:rPr>
          <w:color w:val="000000"/>
          <w:lang w:val="uk-UA" w:eastAsia="ru-RU"/>
        </w:rPr>
        <w:t>проект рішення</w:t>
      </w:r>
      <w:r w:rsidR="00BF210C" w:rsidRPr="00E21D71">
        <w:rPr>
          <w:color w:val="000000"/>
          <w:lang w:val="uk-UA" w:eastAsia="ru-RU"/>
        </w:rPr>
        <w:t xml:space="preserve"> Тростянецької</w:t>
      </w:r>
      <w:r w:rsidRPr="00E21D71">
        <w:rPr>
          <w:color w:val="000000"/>
          <w:lang w:val="uk-UA" w:eastAsia="ru-RU"/>
        </w:rPr>
        <w:t xml:space="preserve"> </w:t>
      </w:r>
      <w:r w:rsidR="00BF210C" w:rsidRPr="00E21D71">
        <w:rPr>
          <w:color w:val="000000"/>
          <w:lang w:val="uk-UA" w:eastAsia="ru-RU"/>
        </w:rPr>
        <w:t>селищної ради</w:t>
      </w:r>
      <w:r w:rsidRPr="00E21D71">
        <w:rPr>
          <w:color w:val="000000"/>
          <w:lang w:val="uk-UA" w:eastAsia="ru-RU"/>
        </w:rPr>
        <w:t xml:space="preserve"> «Про </w:t>
      </w:r>
      <w:r w:rsidR="00BF210C" w:rsidRPr="00E21D71">
        <w:rPr>
          <w:color w:val="000000"/>
          <w:lang w:val="uk-UA" w:eastAsia="ru-RU"/>
        </w:rPr>
        <w:t>порядок надання в оренду майна, що є комунальною власністю Тростянецької селищної об’єднаної територіальної громади</w:t>
      </w:r>
      <w:r w:rsidRPr="00E21D71">
        <w:rPr>
          <w:color w:val="000000"/>
          <w:lang w:val="uk-UA" w:eastAsia="ru-RU"/>
        </w:rPr>
        <w:t>».</w:t>
      </w:r>
    </w:p>
    <w:p w:rsidR="006A1BB3" w:rsidRPr="00E21D71" w:rsidRDefault="006A1BB3" w:rsidP="00360DC6">
      <w:pPr>
        <w:ind w:firstLine="709"/>
        <w:jc w:val="both"/>
        <w:rPr>
          <w:b/>
          <w:color w:val="000000"/>
          <w:lang w:val="uk-UA" w:eastAsia="ru-RU"/>
        </w:rPr>
      </w:pPr>
    </w:p>
    <w:p w:rsidR="006A1BB3" w:rsidRPr="00E21D71" w:rsidRDefault="006A1BB3" w:rsidP="00360DC6">
      <w:pPr>
        <w:ind w:firstLine="709"/>
        <w:jc w:val="both"/>
        <w:rPr>
          <w:color w:val="000000"/>
          <w:lang w:val="uk-UA" w:eastAsia="ru-RU"/>
        </w:rPr>
      </w:pPr>
      <w:r w:rsidRPr="00E21D71">
        <w:rPr>
          <w:b/>
          <w:color w:val="000000"/>
          <w:lang w:val="uk-UA" w:eastAsia="ru-RU"/>
        </w:rPr>
        <w:t xml:space="preserve">Розробник аналізу регуляторного впливу: </w:t>
      </w:r>
      <w:r w:rsidR="00BF210C" w:rsidRPr="00E21D71">
        <w:rPr>
          <w:color w:val="000000"/>
          <w:lang w:val="uk-UA" w:eastAsia="ru-RU"/>
        </w:rPr>
        <w:t xml:space="preserve">відділ правового забезпечення та адміністративних послуг Тростянецької селищної ради </w:t>
      </w:r>
    </w:p>
    <w:p w:rsidR="006A1BB3" w:rsidRPr="00E21D71" w:rsidRDefault="006A1BB3" w:rsidP="00A47897">
      <w:pPr>
        <w:jc w:val="center"/>
        <w:rPr>
          <w:b/>
          <w:lang w:val="uk-UA"/>
        </w:rPr>
      </w:pPr>
    </w:p>
    <w:p w:rsidR="006A1BB3" w:rsidRPr="00E21D71" w:rsidRDefault="006A1BB3" w:rsidP="00A47897">
      <w:pPr>
        <w:jc w:val="center"/>
        <w:rPr>
          <w:b/>
          <w:lang w:val="uk-UA"/>
        </w:rPr>
      </w:pPr>
      <w:r w:rsidRPr="00E21D71">
        <w:rPr>
          <w:b/>
          <w:lang w:val="uk-UA"/>
        </w:rPr>
        <w:t>І. Визначення проблеми</w:t>
      </w:r>
    </w:p>
    <w:p w:rsidR="006A1BB3" w:rsidRPr="00E21D71" w:rsidRDefault="006A1BB3" w:rsidP="00B66145">
      <w:pPr>
        <w:ind w:firstLine="567"/>
        <w:jc w:val="both"/>
        <w:rPr>
          <w:lang w:val="uk-UA"/>
        </w:rPr>
      </w:pPr>
      <w:r w:rsidRPr="00E21D71">
        <w:rPr>
          <w:lang w:val="uk-UA"/>
        </w:rPr>
        <w:t>Згідно частини 5 ст.</w:t>
      </w:r>
      <w:r w:rsidR="00BF210C" w:rsidRPr="00E21D71">
        <w:rPr>
          <w:lang w:val="uk-UA"/>
        </w:rPr>
        <w:t xml:space="preserve"> </w:t>
      </w:r>
      <w:r w:rsidRPr="00E21D71">
        <w:rPr>
          <w:lang w:val="uk-UA"/>
        </w:rPr>
        <w:t>60 Закону України «Про місцеве самоврядування в Україні», органи місцевого самоврядування від імені та в інтересах територіальних громад здійснюють правомочності щодо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оренду.</w:t>
      </w:r>
    </w:p>
    <w:p w:rsidR="006A1BB3" w:rsidRPr="00E21D71" w:rsidRDefault="006A1BB3" w:rsidP="00B66145">
      <w:pPr>
        <w:ind w:firstLine="567"/>
        <w:jc w:val="both"/>
        <w:rPr>
          <w:lang w:val="uk-UA"/>
        </w:rPr>
      </w:pPr>
      <w:r w:rsidRPr="00E21D71">
        <w:rPr>
          <w:lang w:val="uk-UA"/>
        </w:rPr>
        <w:t xml:space="preserve">Відповідно до частини 2 статті 19 Закону України «Про оренду державного та комунального майна» Методика розрахунку орендної плати та пропорції її розподілу між відповідним бюджетом, орендодавцем і </w:t>
      </w:r>
      <w:proofErr w:type="spellStart"/>
      <w:r w:rsidRPr="00E21D71">
        <w:rPr>
          <w:lang w:val="uk-UA"/>
        </w:rPr>
        <w:t>балансоутримувачем</w:t>
      </w:r>
      <w:proofErr w:type="spellEnd"/>
      <w:r w:rsidRPr="00E21D71">
        <w:rPr>
          <w:lang w:val="uk-UA"/>
        </w:rPr>
        <w:t xml:space="preserve"> щодо майна комунальної власності визначають органи місцевого самоврядування на тих самих методологічних засадах, як і для об'єктів, що перебувають у державній власності.</w:t>
      </w:r>
    </w:p>
    <w:p w:rsidR="006A1BB3" w:rsidRPr="00E21D71" w:rsidRDefault="006A1BB3" w:rsidP="00B6614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21D71">
        <w:rPr>
          <w:lang w:val="uk-UA"/>
        </w:rPr>
        <w:t>На даний</w:t>
      </w:r>
      <w:r w:rsidR="00BF210C" w:rsidRPr="00E21D71">
        <w:rPr>
          <w:lang w:val="uk-UA"/>
        </w:rPr>
        <w:t xml:space="preserve"> </w:t>
      </w:r>
      <w:r w:rsidRPr="00E21D71">
        <w:rPr>
          <w:lang w:val="uk-UA"/>
        </w:rPr>
        <w:t>час н</w:t>
      </w:r>
      <w:r w:rsidRPr="00E21D71">
        <w:rPr>
          <w:lang w:val="uk-UA" w:eastAsia="uk-UA"/>
        </w:rPr>
        <w:t xml:space="preserve">а території </w:t>
      </w:r>
      <w:r w:rsidR="00BF210C" w:rsidRPr="00E21D71">
        <w:rPr>
          <w:lang w:val="uk-UA" w:eastAsia="uk-UA"/>
        </w:rPr>
        <w:t>територіальної громади</w:t>
      </w:r>
      <w:r w:rsidRPr="00E21D71">
        <w:rPr>
          <w:lang w:val="uk-UA" w:eastAsia="uk-UA"/>
        </w:rPr>
        <w:t xml:space="preserve"> при визначенні розміру орендної плати за нерухоме майно, яке є об’єктом права спільної власності територіальних громад сіл, селищ, міст Вінницької області, застосовуються орендні ставки</w:t>
      </w:r>
      <w:r w:rsidRPr="00E21D71">
        <w:rPr>
          <w:lang w:val="uk-UA"/>
        </w:rPr>
        <w:t xml:space="preserve">, які затверджені рішенням </w:t>
      </w:r>
      <w:r w:rsidR="00BF210C" w:rsidRPr="00E21D71">
        <w:rPr>
          <w:lang w:val="uk-UA"/>
        </w:rPr>
        <w:t>15</w:t>
      </w:r>
      <w:r w:rsidRPr="00E21D71">
        <w:rPr>
          <w:lang w:val="uk-UA"/>
        </w:rPr>
        <w:t xml:space="preserve"> сесії </w:t>
      </w:r>
      <w:r w:rsidR="00BF210C" w:rsidRPr="00E21D71">
        <w:rPr>
          <w:lang w:val="uk-UA"/>
        </w:rPr>
        <w:t xml:space="preserve">Тростянецької селищної ради </w:t>
      </w:r>
      <w:r w:rsidRPr="00E21D71">
        <w:rPr>
          <w:lang w:val="uk-UA"/>
        </w:rPr>
        <w:t xml:space="preserve">5 скликання від </w:t>
      </w:r>
      <w:r w:rsidR="00BF210C" w:rsidRPr="00E21D71">
        <w:rPr>
          <w:lang w:val="uk-UA"/>
        </w:rPr>
        <w:t>22</w:t>
      </w:r>
      <w:r w:rsidRPr="00E21D71">
        <w:rPr>
          <w:lang w:val="uk-UA"/>
        </w:rPr>
        <w:t xml:space="preserve"> </w:t>
      </w:r>
      <w:r w:rsidR="00BF210C" w:rsidRPr="00E21D71">
        <w:rPr>
          <w:lang w:val="uk-UA"/>
        </w:rPr>
        <w:t>липня</w:t>
      </w:r>
      <w:r w:rsidRPr="00E21D71">
        <w:rPr>
          <w:lang w:val="uk-UA"/>
        </w:rPr>
        <w:t xml:space="preserve"> 20</w:t>
      </w:r>
      <w:r w:rsidR="00BF210C" w:rsidRPr="00E21D71">
        <w:rPr>
          <w:lang w:val="uk-UA"/>
        </w:rPr>
        <w:t>08</w:t>
      </w:r>
      <w:r w:rsidRPr="00E21D71">
        <w:rPr>
          <w:lang w:val="uk-UA"/>
        </w:rPr>
        <w:t xml:space="preserve"> року № </w:t>
      </w:r>
      <w:r w:rsidR="00BF210C" w:rsidRPr="00E21D71">
        <w:rPr>
          <w:lang w:val="uk-UA"/>
        </w:rPr>
        <w:t xml:space="preserve">281 зі змінами внесеними рішенням 3 сесії Тростянецької селищної ради 6 скликання від 21 січня 2011 року № 47 </w:t>
      </w:r>
      <w:r w:rsidRPr="00E21D71">
        <w:rPr>
          <w:lang w:val="uk-UA"/>
        </w:rPr>
        <w:t xml:space="preserve">(далі - Рішення </w:t>
      </w:r>
      <w:r w:rsidR="00BF210C" w:rsidRPr="00E21D71">
        <w:rPr>
          <w:lang w:val="uk-UA"/>
        </w:rPr>
        <w:t>22 липня 2008 року № 281</w:t>
      </w:r>
      <w:r w:rsidRPr="00E21D71">
        <w:rPr>
          <w:lang w:val="uk-UA"/>
        </w:rPr>
        <w:t xml:space="preserve">). </w:t>
      </w:r>
    </w:p>
    <w:p w:rsidR="006A1BB3" w:rsidRPr="00E21D71" w:rsidRDefault="006A1BB3" w:rsidP="00A47897">
      <w:pPr>
        <w:ind w:firstLine="567"/>
        <w:jc w:val="both"/>
        <w:rPr>
          <w:lang w:val="uk-UA"/>
        </w:rPr>
      </w:pPr>
      <w:r w:rsidRPr="00E21D71">
        <w:rPr>
          <w:lang w:val="uk-UA"/>
        </w:rPr>
        <w:t xml:space="preserve">Однак, встановленні орендні ставки </w:t>
      </w:r>
      <w:r w:rsidRPr="00E21D71">
        <w:rPr>
          <w:lang w:val="uk-UA" w:eastAsia="uk-UA"/>
        </w:rPr>
        <w:t xml:space="preserve">при визначенні розміру орендної плати за нерухоме майно, яке є об’єктом права </w:t>
      </w:r>
      <w:r w:rsidR="00BF210C" w:rsidRPr="00E21D71">
        <w:rPr>
          <w:lang w:val="uk-UA" w:eastAsia="uk-UA"/>
        </w:rPr>
        <w:t>комунальної</w:t>
      </w:r>
      <w:r w:rsidRPr="00E21D71">
        <w:rPr>
          <w:lang w:val="uk-UA" w:eastAsia="uk-UA"/>
        </w:rPr>
        <w:t xml:space="preserve"> власності </w:t>
      </w:r>
      <w:r w:rsidR="00BF210C" w:rsidRPr="00E21D71">
        <w:rPr>
          <w:color w:val="000000"/>
          <w:lang w:val="uk-UA" w:eastAsia="ru-RU"/>
        </w:rPr>
        <w:t>Тростянецької селищної об’єднаної територіальної громади</w:t>
      </w:r>
      <w:r w:rsidRPr="00E21D71">
        <w:rPr>
          <w:lang w:val="uk-UA"/>
        </w:rPr>
        <w:t xml:space="preserve">, повинні відповідати потребам </w:t>
      </w:r>
      <w:r w:rsidR="00BF210C" w:rsidRPr="00E21D71">
        <w:rPr>
          <w:lang w:val="uk-UA"/>
        </w:rPr>
        <w:t xml:space="preserve">вже об’єднаної </w:t>
      </w:r>
      <w:r w:rsidRPr="00E21D71">
        <w:rPr>
          <w:lang w:val="uk-UA"/>
        </w:rPr>
        <w:t>територіальн</w:t>
      </w:r>
      <w:r w:rsidR="00BF210C" w:rsidRPr="00E21D71">
        <w:rPr>
          <w:lang w:val="uk-UA"/>
        </w:rPr>
        <w:t>ої</w:t>
      </w:r>
      <w:r w:rsidRPr="00E21D71">
        <w:rPr>
          <w:lang w:val="uk-UA"/>
        </w:rPr>
        <w:t xml:space="preserve"> громад</w:t>
      </w:r>
      <w:r w:rsidR="00BF210C" w:rsidRPr="00E21D71">
        <w:rPr>
          <w:lang w:val="uk-UA"/>
        </w:rPr>
        <w:t>и</w:t>
      </w:r>
      <w:r w:rsidRPr="00E21D71">
        <w:rPr>
          <w:lang w:val="uk-UA"/>
        </w:rPr>
        <w:t xml:space="preserve"> та вимогам сьогодення. Розмір їх надходжень має суттєве значення не тільки для </w:t>
      </w:r>
      <w:r w:rsidR="00BF210C" w:rsidRPr="00E21D71">
        <w:rPr>
          <w:lang w:val="uk-UA"/>
        </w:rPr>
        <w:t xml:space="preserve">селищного </w:t>
      </w:r>
      <w:r w:rsidRPr="00E21D71">
        <w:rPr>
          <w:lang w:val="uk-UA"/>
        </w:rPr>
        <w:t xml:space="preserve">бюджету, але й для громадян, що мешкають на території </w:t>
      </w:r>
      <w:r w:rsidR="00BF210C" w:rsidRPr="00E21D71">
        <w:rPr>
          <w:lang w:val="uk-UA"/>
        </w:rPr>
        <w:t>Тростянецького району</w:t>
      </w:r>
      <w:r w:rsidRPr="00E21D71">
        <w:rPr>
          <w:lang w:val="uk-UA"/>
        </w:rPr>
        <w:t xml:space="preserve">. </w:t>
      </w:r>
    </w:p>
    <w:p w:rsidR="006A1BB3" w:rsidRPr="00E21D71" w:rsidRDefault="006A1BB3" w:rsidP="00B6614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21D71">
        <w:rPr>
          <w:lang w:val="uk-UA"/>
        </w:rPr>
        <w:t xml:space="preserve">Чинне рішення </w:t>
      </w:r>
      <w:r w:rsidR="00BF210C" w:rsidRPr="00E21D71">
        <w:rPr>
          <w:lang w:val="uk-UA"/>
        </w:rPr>
        <w:t xml:space="preserve">від 22 липня 2008 року № 281 </w:t>
      </w:r>
      <w:r w:rsidRPr="00E21D71">
        <w:rPr>
          <w:lang w:val="uk-UA"/>
        </w:rPr>
        <w:t xml:space="preserve">ґрунтувалось на орендних ставках, визначених Постановою Кабінету Міністрів України від 4 жовтня 1995 року №786 «Про Методику розрахунку орендної за державне майно та пропозиції її розподілу» зі змінами та доповненнями. У зв’язку із чим на теперішній час виникла необхідність в удосконаленні нормативних документів щодо оренди майна </w:t>
      </w:r>
      <w:r w:rsidR="00BF210C" w:rsidRPr="00E21D71">
        <w:rPr>
          <w:lang w:val="uk-UA"/>
        </w:rPr>
        <w:t>об’єднаної територіальної громади</w:t>
      </w:r>
      <w:r w:rsidRPr="00E21D71">
        <w:rPr>
          <w:lang w:val="uk-UA"/>
        </w:rPr>
        <w:t xml:space="preserve"> та приведенні їх в актуальний стан орендних ставок, а також обґрунтуванні відповідності проекту рішення принципам державної регуляторної політики, одержання зауважень та пропозицій від зацікавлених осіб.</w:t>
      </w:r>
    </w:p>
    <w:p w:rsidR="006A1BB3" w:rsidRPr="00E21D71" w:rsidRDefault="006A1BB3" w:rsidP="00B66145">
      <w:pPr>
        <w:ind w:firstLine="567"/>
        <w:jc w:val="both"/>
        <w:rPr>
          <w:lang w:val="uk-UA"/>
        </w:rPr>
      </w:pPr>
      <w:r w:rsidRPr="00E21D71">
        <w:rPr>
          <w:lang w:val="uk-UA"/>
        </w:rPr>
        <w:t xml:space="preserve">Тому проблема, яку пропонується вирішити шляхом прийняття відповідного регуляторного акта, дуже важлива для всіх мешканців територіальної громади. </w:t>
      </w:r>
    </w:p>
    <w:p w:rsidR="006A1BB3" w:rsidRPr="00E21D71" w:rsidRDefault="006A1BB3" w:rsidP="00B6614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21D71">
        <w:rPr>
          <w:lang w:val="uk-UA"/>
        </w:rPr>
        <w:t>Основні групи на які проблема справляє вплив: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1774"/>
        <w:gridCol w:w="1870"/>
      </w:tblGrid>
      <w:tr w:rsidR="006A1BB3" w:rsidRPr="00E21D71" w:rsidTr="00DC595D">
        <w:tc>
          <w:tcPr>
            <w:tcW w:w="5248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Групи (підгрупи)</w:t>
            </w:r>
          </w:p>
        </w:tc>
        <w:tc>
          <w:tcPr>
            <w:tcW w:w="1774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Так</w:t>
            </w:r>
          </w:p>
        </w:tc>
        <w:tc>
          <w:tcPr>
            <w:tcW w:w="1870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Ні</w:t>
            </w:r>
          </w:p>
        </w:tc>
      </w:tr>
      <w:tr w:rsidR="006A1BB3" w:rsidRPr="00E21D71" w:rsidTr="00DC595D">
        <w:tc>
          <w:tcPr>
            <w:tcW w:w="5248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Громадяни</w:t>
            </w:r>
          </w:p>
        </w:tc>
        <w:tc>
          <w:tcPr>
            <w:tcW w:w="1774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>+</w:t>
            </w:r>
          </w:p>
        </w:tc>
        <w:tc>
          <w:tcPr>
            <w:tcW w:w="1870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6A1BB3" w:rsidRPr="00E21D71" w:rsidTr="00DC595D">
        <w:tc>
          <w:tcPr>
            <w:tcW w:w="5248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Держава</w:t>
            </w:r>
          </w:p>
        </w:tc>
        <w:tc>
          <w:tcPr>
            <w:tcW w:w="1774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>+</w:t>
            </w:r>
          </w:p>
        </w:tc>
        <w:tc>
          <w:tcPr>
            <w:tcW w:w="1870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6A1BB3" w:rsidRPr="00E21D71" w:rsidTr="00DC595D">
        <w:tc>
          <w:tcPr>
            <w:tcW w:w="5248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 xml:space="preserve">Суб’єкти господарювання, </w:t>
            </w:r>
          </w:p>
        </w:tc>
        <w:tc>
          <w:tcPr>
            <w:tcW w:w="1774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>+</w:t>
            </w:r>
          </w:p>
        </w:tc>
        <w:tc>
          <w:tcPr>
            <w:tcW w:w="1870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6A1BB3" w:rsidRPr="00E21D71" w:rsidTr="00DC595D">
        <w:tc>
          <w:tcPr>
            <w:tcW w:w="5248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у тому числі суб’єкти малого підприємства</w:t>
            </w:r>
          </w:p>
        </w:tc>
        <w:tc>
          <w:tcPr>
            <w:tcW w:w="1774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>+</w:t>
            </w:r>
          </w:p>
        </w:tc>
        <w:tc>
          <w:tcPr>
            <w:tcW w:w="1870" w:type="dxa"/>
          </w:tcPr>
          <w:p w:rsidR="006A1BB3" w:rsidRPr="00E21D71" w:rsidRDefault="006A1BB3" w:rsidP="00B66145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</w:tbl>
    <w:p w:rsidR="006A1BB3" w:rsidRPr="00E21D71" w:rsidRDefault="006A1BB3" w:rsidP="00B66145">
      <w:pPr>
        <w:ind w:firstLine="567"/>
        <w:jc w:val="both"/>
        <w:rPr>
          <w:color w:val="4F6228"/>
          <w:lang w:val="uk-UA"/>
        </w:rPr>
      </w:pPr>
    </w:p>
    <w:p w:rsidR="006A1BB3" w:rsidRPr="00E21D71" w:rsidRDefault="006A1BB3" w:rsidP="00B66145">
      <w:pPr>
        <w:ind w:firstLine="567"/>
        <w:jc w:val="both"/>
        <w:rPr>
          <w:lang w:val="uk-UA"/>
        </w:rPr>
      </w:pPr>
      <w:r w:rsidRPr="00E21D71">
        <w:rPr>
          <w:lang w:val="uk-UA"/>
        </w:rPr>
        <w:t>Діючий регуляторний акт (</w:t>
      </w:r>
      <w:r w:rsidR="00BE78EA" w:rsidRPr="00E21D71">
        <w:rPr>
          <w:lang w:val="uk-UA"/>
        </w:rPr>
        <w:t>Рішення 22 липня 2008 року № 281</w:t>
      </w:r>
      <w:r w:rsidRPr="00E21D71">
        <w:rPr>
          <w:lang w:val="uk-UA"/>
        </w:rPr>
        <w:t xml:space="preserve">) не враховує всі зміни, які були внесенні до </w:t>
      </w:r>
      <w:r w:rsidR="00BE78EA" w:rsidRPr="00E21D71">
        <w:rPr>
          <w:lang w:val="uk-UA"/>
        </w:rPr>
        <w:t xml:space="preserve">Закону України «Про оренду та державного та комунального майна» та </w:t>
      </w:r>
      <w:r w:rsidRPr="00E21D71">
        <w:rPr>
          <w:lang w:val="uk-UA"/>
        </w:rPr>
        <w:t>Постанови Кабінету Міністрів від 4 жовтня 1995 року №</w:t>
      </w:r>
      <w:r w:rsidR="00BE78EA" w:rsidRPr="00E21D71">
        <w:rPr>
          <w:lang w:val="uk-UA"/>
        </w:rPr>
        <w:t xml:space="preserve"> </w:t>
      </w:r>
      <w:r w:rsidRPr="00E21D71">
        <w:rPr>
          <w:lang w:val="uk-UA"/>
        </w:rPr>
        <w:t>786 «Про Методику розрахунку орендної за державне майно та пропозиції її розподілу»</w:t>
      </w:r>
      <w:r w:rsidR="00BE78EA" w:rsidRPr="00E21D71">
        <w:rPr>
          <w:lang w:val="uk-UA"/>
        </w:rPr>
        <w:t xml:space="preserve"> станом на 01.01.2019 року</w:t>
      </w:r>
      <w:r w:rsidRPr="00E21D71">
        <w:rPr>
          <w:lang w:val="uk-UA"/>
        </w:rPr>
        <w:t>.</w:t>
      </w:r>
    </w:p>
    <w:p w:rsidR="006A1BB3" w:rsidRPr="00E21D71" w:rsidRDefault="006A1BB3" w:rsidP="00B66145">
      <w:pPr>
        <w:shd w:val="clear" w:color="auto" w:fill="FFFFFF"/>
        <w:ind w:firstLine="567"/>
        <w:jc w:val="both"/>
        <w:rPr>
          <w:lang w:val="uk-UA" w:eastAsia="ru-RU"/>
        </w:rPr>
      </w:pPr>
      <w:r w:rsidRPr="00E21D71">
        <w:rPr>
          <w:lang w:val="uk-UA"/>
        </w:rPr>
        <w:t xml:space="preserve">Таким чином, вказана проблема потребує розв’язання шляхом </w:t>
      </w:r>
      <w:r w:rsidR="00BE78EA" w:rsidRPr="00E21D71">
        <w:rPr>
          <w:lang w:val="uk-UA"/>
        </w:rPr>
        <w:t>прийняття нового рішення</w:t>
      </w:r>
      <w:r w:rsidRPr="00E21D71">
        <w:rPr>
          <w:lang w:val="uk-UA"/>
        </w:rPr>
        <w:t xml:space="preserve">, що регулює </w:t>
      </w:r>
      <w:r w:rsidR="00BE78EA" w:rsidRPr="00E21D71">
        <w:rPr>
          <w:color w:val="000000"/>
          <w:shd w:val="clear" w:color="auto" w:fill="FFFFFF"/>
          <w:lang w:val="uk-UA"/>
        </w:rPr>
        <w:t>організаційні відносини, пов’язані з передачею в оренду майна</w:t>
      </w:r>
      <w:r w:rsidR="00BE78EA" w:rsidRPr="00E21D71">
        <w:rPr>
          <w:lang w:val="uk-UA"/>
        </w:rPr>
        <w:t xml:space="preserve">, що перебуває у комунальній власності </w:t>
      </w:r>
      <w:r w:rsidR="00BE78EA" w:rsidRPr="00E21D71">
        <w:rPr>
          <w:color w:val="000000"/>
          <w:lang w:val="uk-UA" w:eastAsia="ru-RU"/>
        </w:rPr>
        <w:t>Тростянецької селищної об’єднаної територіальної громади</w:t>
      </w:r>
    </w:p>
    <w:p w:rsidR="006A1BB3" w:rsidRPr="00E21D71" w:rsidRDefault="00BE78EA" w:rsidP="00B66145">
      <w:pPr>
        <w:ind w:firstLine="567"/>
        <w:jc w:val="both"/>
        <w:rPr>
          <w:lang w:val="uk-UA"/>
        </w:rPr>
      </w:pPr>
      <w:r w:rsidRPr="00E21D71">
        <w:rPr>
          <w:color w:val="000000"/>
          <w:lang w:val="uk-UA" w:eastAsia="ru-RU"/>
        </w:rPr>
        <w:t>П</w:t>
      </w:r>
      <w:r w:rsidRPr="00E21D71">
        <w:rPr>
          <w:color w:val="000000"/>
          <w:lang w:val="uk-UA" w:eastAsia="ru-RU"/>
        </w:rPr>
        <w:t>роект рішення Тростянецької селищної ради «Про порядок надання в оренду майна, що є комунальною власністю Тростянецької селищної об’єднаної територіальної громади»</w:t>
      </w:r>
      <w:r w:rsidR="006A1BB3" w:rsidRPr="00E21D71">
        <w:rPr>
          <w:lang w:val="uk-UA"/>
        </w:rPr>
        <w:t xml:space="preserve"> розроблено у відповідності до вимог Законів України «Про місцеве самоврядування в Україні», «</w:t>
      </w:r>
      <w:r w:rsidR="006A1BB3" w:rsidRPr="00E21D71">
        <w:rPr>
          <w:bCs/>
          <w:bdr w:val="none" w:sz="0" w:space="0" w:color="auto" w:frame="1"/>
          <w:lang w:val="uk-UA"/>
        </w:rPr>
        <w:t>Про оренду державного та комунального майна</w:t>
      </w:r>
      <w:r w:rsidR="006A1BB3" w:rsidRPr="00E21D71">
        <w:rPr>
          <w:lang w:val="uk-UA"/>
        </w:rPr>
        <w:t>», «Про засади державної регуляторної політики у сфері господарської діяльності» та  Методики розрахунку орендної плати за державне майно та пропорції її розподілу, затвердженої постановою Кабінету Міністрів України від 04.10.95р. №</w:t>
      </w:r>
      <w:r w:rsidRPr="00E21D71">
        <w:rPr>
          <w:lang w:val="uk-UA"/>
        </w:rPr>
        <w:t xml:space="preserve"> </w:t>
      </w:r>
      <w:r w:rsidR="006A1BB3" w:rsidRPr="00E21D71">
        <w:rPr>
          <w:lang w:val="uk-UA"/>
        </w:rPr>
        <w:t>786 зі змінами та доповненнями.</w:t>
      </w:r>
    </w:p>
    <w:p w:rsidR="006A1BB3" w:rsidRPr="00E21D71" w:rsidRDefault="006A1BB3" w:rsidP="00EA5CC7">
      <w:pPr>
        <w:ind w:firstLine="709"/>
        <w:jc w:val="both"/>
        <w:rPr>
          <w:lang w:val="uk-UA"/>
        </w:rPr>
      </w:pPr>
    </w:p>
    <w:p w:rsidR="006A1BB3" w:rsidRPr="00E21D71" w:rsidRDefault="006A1BB3" w:rsidP="001648EE">
      <w:pPr>
        <w:jc w:val="center"/>
        <w:rPr>
          <w:b/>
          <w:color w:val="000000"/>
          <w:lang w:val="uk-UA" w:eastAsia="ru-RU"/>
        </w:rPr>
      </w:pPr>
      <w:r w:rsidRPr="00E21D71">
        <w:rPr>
          <w:b/>
          <w:color w:val="000000"/>
          <w:lang w:val="uk-UA" w:eastAsia="ru-RU"/>
        </w:rPr>
        <w:t>ІІ. Цілі державного регулювання</w:t>
      </w:r>
    </w:p>
    <w:p w:rsidR="006A1BB3" w:rsidRPr="00E21D71" w:rsidRDefault="006A1BB3" w:rsidP="001648EE">
      <w:pPr>
        <w:tabs>
          <w:tab w:val="num" w:pos="0"/>
        </w:tabs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>Метою державного регулювання у випадку прийняття проекту є:</w:t>
      </w:r>
    </w:p>
    <w:p w:rsidR="006A1BB3" w:rsidRPr="00E21D71" w:rsidRDefault="006A1BB3" w:rsidP="001648EE">
      <w:pPr>
        <w:tabs>
          <w:tab w:val="num" w:pos="0"/>
        </w:tabs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>- приведення орендних ставок на майно</w:t>
      </w:r>
      <w:r w:rsidR="00DB3796" w:rsidRPr="00E21D71">
        <w:rPr>
          <w:color w:val="000000"/>
          <w:lang w:val="uk-UA" w:eastAsia="ru-RU"/>
        </w:rPr>
        <w:t>,</w:t>
      </w:r>
      <w:r w:rsidRPr="00E21D71">
        <w:rPr>
          <w:color w:val="000000"/>
          <w:lang w:val="uk-UA" w:eastAsia="ru-RU"/>
        </w:rPr>
        <w:t xml:space="preserve"> </w:t>
      </w:r>
      <w:r w:rsidR="00DB3796" w:rsidRPr="00E21D71">
        <w:rPr>
          <w:color w:val="000000"/>
          <w:lang w:val="uk-UA" w:eastAsia="ru-RU"/>
        </w:rPr>
        <w:t>що є комунальною власністю Тростянецької селищної об’єднаної територіальної громади</w:t>
      </w:r>
      <w:r w:rsidRPr="00E21D71">
        <w:rPr>
          <w:lang w:val="uk-UA"/>
        </w:rPr>
        <w:t>, що здається в оренду,</w:t>
      </w:r>
      <w:r w:rsidRPr="00E21D71">
        <w:rPr>
          <w:color w:val="000000"/>
          <w:lang w:val="uk-UA" w:eastAsia="ru-RU"/>
        </w:rPr>
        <w:t xml:space="preserve"> до ринково обґрунтованих, при цьому залишивши м</w:t>
      </w:r>
      <w:r w:rsidRPr="00E21D71">
        <w:rPr>
          <w:color w:val="000000"/>
          <w:lang w:val="uk-UA"/>
        </w:rPr>
        <w:t xml:space="preserve">етодику та Порядок розрахунку орендної плати без змін та з урахуванням інтересів </w:t>
      </w:r>
      <w:r w:rsidR="00DB3796" w:rsidRPr="00E21D71">
        <w:rPr>
          <w:color w:val="000000"/>
          <w:lang w:val="uk-UA"/>
        </w:rPr>
        <w:t xml:space="preserve">об’єднаної </w:t>
      </w:r>
      <w:r w:rsidRPr="00E21D71">
        <w:rPr>
          <w:color w:val="000000"/>
          <w:lang w:val="uk-UA"/>
        </w:rPr>
        <w:t>територіальн</w:t>
      </w:r>
      <w:r w:rsidR="00DB3796" w:rsidRPr="00E21D71">
        <w:rPr>
          <w:color w:val="000000"/>
          <w:lang w:val="uk-UA"/>
        </w:rPr>
        <w:t>ої</w:t>
      </w:r>
      <w:r w:rsidRPr="00E21D71">
        <w:rPr>
          <w:color w:val="000000"/>
          <w:lang w:val="uk-UA"/>
        </w:rPr>
        <w:t xml:space="preserve"> громад</w:t>
      </w:r>
      <w:r w:rsidR="00DB3796" w:rsidRPr="00E21D71">
        <w:rPr>
          <w:color w:val="000000"/>
          <w:lang w:val="uk-UA"/>
        </w:rPr>
        <w:t>и</w:t>
      </w:r>
      <w:r w:rsidRPr="00E21D71">
        <w:rPr>
          <w:color w:val="000000"/>
          <w:lang w:val="uk-UA"/>
        </w:rPr>
        <w:t>;</w:t>
      </w:r>
    </w:p>
    <w:p w:rsidR="006A1BB3" w:rsidRPr="00E21D71" w:rsidRDefault="006A1BB3" w:rsidP="001648EE">
      <w:pPr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 xml:space="preserve">- підвищення ефективності використання майна, що перебуває у </w:t>
      </w:r>
      <w:r w:rsidR="006C40AE" w:rsidRPr="00E21D71">
        <w:rPr>
          <w:color w:val="000000"/>
          <w:lang w:val="uk-UA" w:eastAsia="ru-RU"/>
        </w:rPr>
        <w:t>комунальн</w:t>
      </w:r>
      <w:r w:rsidR="006C40AE" w:rsidRPr="00E21D71">
        <w:rPr>
          <w:color w:val="000000"/>
          <w:lang w:val="uk-UA" w:eastAsia="ru-RU"/>
        </w:rPr>
        <w:t>ій</w:t>
      </w:r>
      <w:r w:rsidR="006C40AE" w:rsidRPr="00E21D71">
        <w:rPr>
          <w:color w:val="000000"/>
          <w:lang w:val="uk-UA" w:eastAsia="ru-RU"/>
        </w:rPr>
        <w:t xml:space="preserve"> власн</w:t>
      </w:r>
      <w:r w:rsidR="006C40AE" w:rsidRPr="00E21D71">
        <w:rPr>
          <w:color w:val="000000"/>
          <w:lang w:val="uk-UA" w:eastAsia="ru-RU"/>
        </w:rPr>
        <w:t>о</w:t>
      </w:r>
      <w:r w:rsidR="006C40AE" w:rsidRPr="00E21D71">
        <w:rPr>
          <w:color w:val="000000"/>
          <w:lang w:val="uk-UA" w:eastAsia="ru-RU"/>
        </w:rPr>
        <w:t>ст</w:t>
      </w:r>
      <w:r w:rsidR="006C40AE" w:rsidRPr="00E21D71">
        <w:rPr>
          <w:color w:val="000000"/>
          <w:lang w:val="uk-UA" w:eastAsia="ru-RU"/>
        </w:rPr>
        <w:t>і</w:t>
      </w:r>
      <w:r w:rsidR="006C40AE" w:rsidRPr="00E21D71">
        <w:rPr>
          <w:color w:val="000000"/>
          <w:lang w:val="uk-UA" w:eastAsia="ru-RU"/>
        </w:rPr>
        <w:t xml:space="preserve"> Тростянецької селищної об’єднаної територіальної громади</w:t>
      </w:r>
      <w:r w:rsidRPr="00E21D71">
        <w:rPr>
          <w:color w:val="000000"/>
          <w:lang w:val="uk-UA" w:eastAsia="ru-RU"/>
        </w:rPr>
        <w:t>;</w:t>
      </w:r>
    </w:p>
    <w:p w:rsidR="006A1BB3" w:rsidRPr="00E21D71" w:rsidRDefault="006A1BB3" w:rsidP="001648EE">
      <w:pPr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>- збільшення надходжень до обласного бюджету;</w:t>
      </w:r>
    </w:p>
    <w:p w:rsidR="006A1BB3" w:rsidRPr="00E21D71" w:rsidRDefault="006A1BB3" w:rsidP="001648EE">
      <w:pPr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>- можливість поліпшити фінансовий стан комунальних підприємств та бюджетних закладів;</w:t>
      </w:r>
    </w:p>
    <w:p w:rsidR="006A1BB3" w:rsidRPr="00E21D71" w:rsidRDefault="006A1BB3" w:rsidP="001648EE">
      <w:pPr>
        <w:autoSpaceDE w:val="0"/>
        <w:ind w:firstLine="709"/>
        <w:jc w:val="both"/>
        <w:rPr>
          <w:color w:val="000000"/>
          <w:lang w:val="uk-UA" w:eastAsia="ru-RU"/>
        </w:rPr>
      </w:pPr>
      <w:r w:rsidRPr="00E21D71">
        <w:rPr>
          <w:color w:val="000000"/>
          <w:lang w:val="uk-UA" w:eastAsia="ru-RU"/>
        </w:rPr>
        <w:t>- надання можливості утримувати комунальне майно в належному стані;</w:t>
      </w:r>
    </w:p>
    <w:p w:rsidR="006A1BB3" w:rsidRPr="00E21D71" w:rsidRDefault="006A1BB3" w:rsidP="001648EE">
      <w:pPr>
        <w:autoSpaceDE w:val="0"/>
        <w:ind w:firstLine="709"/>
        <w:jc w:val="both"/>
        <w:rPr>
          <w:lang w:val="uk-UA"/>
        </w:rPr>
      </w:pPr>
      <w:r w:rsidRPr="00E21D71">
        <w:rPr>
          <w:color w:val="000000"/>
          <w:lang w:val="uk-UA" w:eastAsia="ru-RU"/>
        </w:rPr>
        <w:t>- врахування інтересів орендарів</w:t>
      </w:r>
      <w:r w:rsidRPr="00E21D71">
        <w:rPr>
          <w:lang w:val="uk-UA"/>
        </w:rPr>
        <w:t xml:space="preserve"> стосовно можливості користування комунальним майном для здійснення підприємницької та іншої діяльності;</w:t>
      </w:r>
    </w:p>
    <w:p w:rsidR="006A1BB3" w:rsidRPr="00E21D71" w:rsidRDefault="006A1BB3" w:rsidP="001648EE">
      <w:pPr>
        <w:autoSpaceDE w:val="0"/>
        <w:ind w:firstLine="709"/>
        <w:jc w:val="both"/>
        <w:rPr>
          <w:lang w:val="uk-UA"/>
        </w:rPr>
      </w:pPr>
      <w:r w:rsidRPr="00E21D71">
        <w:rPr>
          <w:lang w:val="uk-UA"/>
        </w:rPr>
        <w:t>- з</w:t>
      </w:r>
      <w:r w:rsidRPr="00E21D71">
        <w:rPr>
          <w:color w:val="000000"/>
          <w:lang w:val="uk-UA" w:eastAsia="ru-RU"/>
        </w:rPr>
        <w:t>абезпечення інтересів територіальн</w:t>
      </w:r>
      <w:r w:rsidR="006C40AE" w:rsidRPr="00E21D71">
        <w:rPr>
          <w:color w:val="000000"/>
          <w:lang w:val="uk-UA" w:eastAsia="ru-RU"/>
        </w:rPr>
        <w:t>ої</w:t>
      </w:r>
      <w:r w:rsidRPr="00E21D71">
        <w:rPr>
          <w:color w:val="000000"/>
          <w:lang w:val="uk-UA" w:eastAsia="ru-RU"/>
        </w:rPr>
        <w:t xml:space="preserve"> громад</w:t>
      </w:r>
      <w:r w:rsidR="006C40AE" w:rsidRPr="00E21D71">
        <w:rPr>
          <w:color w:val="000000"/>
          <w:lang w:val="uk-UA" w:eastAsia="ru-RU"/>
        </w:rPr>
        <w:t>и</w:t>
      </w:r>
      <w:r w:rsidRPr="00E21D71">
        <w:rPr>
          <w:lang w:val="uk-UA"/>
        </w:rPr>
        <w:t xml:space="preserve"> щодо максимізації доходів від оренди </w:t>
      </w:r>
      <w:r w:rsidR="006C40AE" w:rsidRPr="00E21D71">
        <w:rPr>
          <w:lang w:val="uk-UA"/>
        </w:rPr>
        <w:t xml:space="preserve">комунального </w:t>
      </w:r>
      <w:r w:rsidRPr="00E21D71">
        <w:rPr>
          <w:lang w:val="uk-UA"/>
        </w:rPr>
        <w:t>майна.</w:t>
      </w:r>
    </w:p>
    <w:p w:rsidR="006A1BB3" w:rsidRPr="00E21D71" w:rsidRDefault="006A1BB3" w:rsidP="00A47897">
      <w:pPr>
        <w:jc w:val="both"/>
        <w:rPr>
          <w:lang w:val="uk-UA"/>
        </w:rPr>
      </w:pPr>
      <w:r w:rsidRPr="00E21D71">
        <w:rPr>
          <w:lang w:val="uk-UA"/>
        </w:rPr>
        <w:tab/>
        <w:t xml:space="preserve"> </w:t>
      </w: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Cs/>
          <w:lang w:val="uk-UA"/>
        </w:rPr>
      </w:pPr>
      <w:r w:rsidRPr="00E21D71">
        <w:rPr>
          <w:rStyle w:val="a3"/>
          <w:bCs/>
          <w:lang w:val="uk-UA"/>
        </w:rPr>
        <w:t>ІІІ. Визначення та оцінка альтернативн</w:t>
      </w:r>
      <w:r w:rsidR="006C40AE" w:rsidRPr="00E21D71">
        <w:rPr>
          <w:rStyle w:val="a3"/>
          <w:bCs/>
          <w:lang w:val="uk-UA"/>
        </w:rPr>
        <w:t>и</w:t>
      </w:r>
      <w:r w:rsidRPr="00E21D71">
        <w:rPr>
          <w:rStyle w:val="a3"/>
          <w:bCs/>
          <w:lang w:val="uk-UA"/>
        </w:rPr>
        <w:t>х способів </w:t>
      </w: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21D71">
        <w:rPr>
          <w:rStyle w:val="a3"/>
          <w:bCs/>
          <w:lang w:val="uk-UA"/>
        </w:rPr>
        <w:t>досягнення зазначених цілей</w:t>
      </w:r>
    </w:p>
    <w:p w:rsidR="006A1BB3" w:rsidRPr="00E21D71" w:rsidRDefault="006A1BB3" w:rsidP="001648EE">
      <w:pPr>
        <w:numPr>
          <w:ilvl w:val="0"/>
          <w:numId w:val="2"/>
        </w:numPr>
        <w:shd w:val="clear" w:color="auto" w:fill="FFFFFF"/>
        <w:suppressAutoHyphens w:val="0"/>
        <w:rPr>
          <w:i/>
          <w:lang w:val="uk-UA"/>
        </w:rPr>
      </w:pPr>
      <w:r w:rsidRPr="00E21D71">
        <w:rPr>
          <w:i/>
          <w:lang w:val="uk-UA"/>
        </w:rPr>
        <w:t>Визначення альтернативних способів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6A1BB3" w:rsidRPr="00E21D71" w:rsidTr="004A7D68">
        <w:tc>
          <w:tcPr>
            <w:tcW w:w="4792" w:type="dxa"/>
          </w:tcPr>
          <w:p w:rsidR="006A1BB3" w:rsidRPr="00E21D71" w:rsidRDefault="006A1BB3" w:rsidP="00DC595D">
            <w:pPr>
              <w:autoSpaceDE w:val="0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Вид альтернатив</w:t>
            </w:r>
          </w:p>
        </w:tc>
        <w:tc>
          <w:tcPr>
            <w:tcW w:w="4779" w:type="dxa"/>
          </w:tcPr>
          <w:p w:rsidR="006A1BB3" w:rsidRPr="00E21D71" w:rsidRDefault="006A1BB3" w:rsidP="00DC595D">
            <w:pPr>
              <w:autoSpaceDE w:val="0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Опис альтернатив</w:t>
            </w:r>
          </w:p>
        </w:tc>
      </w:tr>
      <w:tr w:rsidR="006A1BB3" w:rsidRPr="00E21D71" w:rsidTr="004A7D68">
        <w:tc>
          <w:tcPr>
            <w:tcW w:w="4792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1: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прийняття запропонованого проекту</w:t>
            </w:r>
          </w:p>
        </w:tc>
        <w:tc>
          <w:tcPr>
            <w:tcW w:w="4779" w:type="dxa"/>
          </w:tcPr>
          <w:p w:rsidR="006A1BB3" w:rsidRPr="00E21D71" w:rsidRDefault="006A1BB3" w:rsidP="00A47897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 xml:space="preserve">Приведення до ринково обґрунтованих орендних ставок </w:t>
            </w:r>
          </w:p>
        </w:tc>
      </w:tr>
      <w:tr w:rsidR="006A1BB3" w:rsidRPr="00E21D71" w:rsidTr="004A7D68">
        <w:tc>
          <w:tcPr>
            <w:tcW w:w="4792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2: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застосування ринкових механізмів</w:t>
            </w:r>
          </w:p>
        </w:tc>
        <w:tc>
          <w:tcPr>
            <w:tcW w:w="4779" w:type="dxa"/>
          </w:tcPr>
          <w:p w:rsidR="006A1BB3" w:rsidRPr="00E21D71" w:rsidRDefault="006A1BB3" w:rsidP="006C40AE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 xml:space="preserve">Врахування інтересів суб’єктів господарювання, а не </w:t>
            </w:r>
            <w:r w:rsidR="006C40AE" w:rsidRPr="00E21D71">
              <w:rPr>
                <w:lang w:val="uk-UA"/>
              </w:rPr>
              <w:t xml:space="preserve">об’єднаної </w:t>
            </w:r>
            <w:r w:rsidRPr="00E21D71">
              <w:rPr>
                <w:lang w:val="uk-UA"/>
              </w:rPr>
              <w:t xml:space="preserve">територіальної громади </w:t>
            </w:r>
          </w:p>
        </w:tc>
      </w:tr>
      <w:tr w:rsidR="006A1BB3" w:rsidRPr="00E21D71" w:rsidTr="004A7D68">
        <w:tc>
          <w:tcPr>
            <w:tcW w:w="4792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3: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залишення без змін існуючого акта</w:t>
            </w:r>
          </w:p>
        </w:tc>
        <w:tc>
          <w:tcPr>
            <w:tcW w:w="4779" w:type="dxa"/>
          </w:tcPr>
          <w:p w:rsidR="006A1BB3" w:rsidRPr="00E21D71" w:rsidRDefault="006A1BB3" w:rsidP="00A47897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Зазначений спосіб не сприятиме збільшенню надходжень до обласного бюджету</w:t>
            </w:r>
          </w:p>
        </w:tc>
      </w:tr>
    </w:tbl>
    <w:p w:rsidR="006A1BB3" w:rsidRPr="00E21D71" w:rsidRDefault="006A1BB3" w:rsidP="001648EE">
      <w:pPr>
        <w:autoSpaceDE w:val="0"/>
        <w:ind w:firstLine="709"/>
        <w:jc w:val="both"/>
        <w:rPr>
          <w:lang w:val="uk-UA"/>
        </w:rPr>
      </w:pP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  <w:r w:rsidRPr="00E21D71">
        <w:rPr>
          <w:i/>
          <w:lang w:val="uk-UA"/>
        </w:rPr>
        <w:t>2. Оцінка вибраних альтернативних способів досягнення цілей</w:t>
      </w: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  <w:r w:rsidRPr="00E21D71">
        <w:rPr>
          <w:i/>
          <w:lang w:val="uk-UA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921"/>
        <w:gridCol w:w="2433"/>
      </w:tblGrid>
      <w:tr w:rsidR="006A1BB3" w:rsidRPr="00E21D71" w:rsidTr="004A7D68">
        <w:tc>
          <w:tcPr>
            <w:tcW w:w="3217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Вид альтернатив</w:t>
            </w:r>
          </w:p>
        </w:tc>
        <w:tc>
          <w:tcPr>
            <w:tcW w:w="3921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Вигоди</w:t>
            </w:r>
          </w:p>
        </w:tc>
        <w:tc>
          <w:tcPr>
            <w:tcW w:w="2433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Витрати</w:t>
            </w:r>
          </w:p>
        </w:tc>
      </w:tr>
      <w:tr w:rsidR="006A1BB3" w:rsidRPr="00E21D71" w:rsidTr="004A7D68">
        <w:tc>
          <w:tcPr>
            <w:tcW w:w="3217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1:</w:t>
            </w:r>
          </w:p>
          <w:p w:rsidR="006A1BB3" w:rsidRPr="00E21D71" w:rsidRDefault="006A1BB3" w:rsidP="00EC4BBE">
            <w:pPr>
              <w:rPr>
                <w:b/>
                <w:color w:val="000000"/>
                <w:lang w:val="uk-UA" w:eastAsia="ru-RU"/>
              </w:rPr>
            </w:pPr>
            <w:r w:rsidRPr="00E21D71">
              <w:rPr>
                <w:lang w:val="uk-UA"/>
              </w:rPr>
              <w:t>прийняття запропонованого проекту акта</w:t>
            </w:r>
          </w:p>
        </w:tc>
        <w:tc>
          <w:tcPr>
            <w:tcW w:w="3921" w:type="dxa"/>
          </w:tcPr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 xml:space="preserve">- отримання ринково обґрунтованих орендних ставок, що будуть застосовуватись </w:t>
            </w:r>
            <w:r w:rsidRPr="00E21D71">
              <w:rPr>
                <w:lang w:val="uk-UA"/>
              </w:rPr>
              <w:t xml:space="preserve">при </w:t>
            </w:r>
            <w:r w:rsidRPr="00E21D71">
              <w:rPr>
                <w:lang w:val="uk-UA"/>
              </w:rPr>
              <w:lastRenderedPageBreak/>
              <w:t>передачі в оренду майна спільної власності;</w:t>
            </w:r>
            <w:r w:rsidRPr="00E21D71">
              <w:rPr>
                <w:color w:val="000000"/>
                <w:lang w:val="uk-UA"/>
              </w:rPr>
              <w:t xml:space="preserve"> </w:t>
            </w:r>
          </w:p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>- збільшення надходжень до обласного бюджету;</w:t>
            </w:r>
          </w:p>
          <w:p w:rsidR="006A1BB3" w:rsidRPr="00E21D71" w:rsidRDefault="006A1BB3" w:rsidP="00DC595D">
            <w:pPr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/>
              </w:rPr>
              <w:t>- </w:t>
            </w:r>
            <w:r w:rsidRPr="00E21D71">
              <w:rPr>
                <w:color w:val="000000"/>
                <w:lang w:val="uk-UA" w:eastAsia="ru-RU"/>
              </w:rPr>
              <w:t xml:space="preserve"> можливість покращити фінансовий стан комунальних підприємств та бюджетних закладів;</w:t>
            </w:r>
          </w:p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 xml:space="preserve"> - відновлення та поліпшення майна спільної власності;</w:t>
            </w:r>
          </w:p>
          <w:p w:rsidR="006A1BB3" w:rsidRPr="00E21D71" w:rsidRDefault="006A1BB3" w:rsidP="006C40AE">
            <w:pPr>
              <w:rPr>
                <w:b/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 xml:space="preserve">- підвищення ефективності використання майна, що перебуває у </w:t>
            </w:r>
            <w:r w:rsidR="006C40AE" w:rsidRPr="00E21D71">
              <w:rPr>
                <w:color w:val="000000"/>
                <w:lang w:val="uk-UA" w:eastAsia="ru-RU"/>
              </w:rPr>
              <w:t>комунальній власності об’єднаної територіальної громади</w:t>
            </w:r>
          </w:p>
        </w:tc>
        <w:tc>
          <w:tcPr>
            <w:tcW w:w="2433" w:type="dxa"/>
          </w:tcPr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lastRenderedPageBreak/>
              <w:t>- витрати на оприлюднення регуляторного акту;</w:t>
            </w:r>
          </w:p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</w:p>
          <w:p w:rsidR="006A1BB3" w:rsidRPr="00E21D71" w:rsidRDefault="006A1BB3" w:rsidP="00EC4BBE">
            <w:pPr>
              <w:rPr>
                <w:b/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/>
              </w:rPr>
              <w:t>- витрати на розсилку кореспонденції суб’єктам господарювання</w:t>
            </w:r>
          </w:p>
        </w:tc>
      </w:tr>
      <w:tr w:rsidR="006A1BB3" w:rsidRPr="00E21D71" w:rsidTr="004A7D68">
        <w:tc>
          <w:tcPr>
            <w:tcW w:w="3217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lastRenderedPageBreak/>
              <w:t>Альтернатива 2: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застосування ринкових механізмів</w:t>
            </w:r>
          </w:p>
        </w:tc>
        <w:tc>
          <w:tcPr>
            <w:tcW w:w="3921" w:type="dxa"/>
          </w:tcPr>
          <w:p w:rsidR="006A1BB3" w:rsidRPr="00E21D71" w:rsidRDefault="006A1BB3" w:rsidP="00A5724F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Відсутні, оскільки враховують інтереси тільки суб’єктів господарювання</w:t>
            </w:r>
          </w:p>
        </w:tc>
        <w:tc>
          <w:tcPr>
            <w:tcW w:w="2433" w:type="dxa"/>
          </w:tcPr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>- відсутні</w:t>
            </w:r>
          </w:p>
          <w:p w:rsidR="006A1BB3" w:rsidRPr="00E21D71" w:rsidRDefault="006A1BB3" w:rsidP="00DC595D">
            <w:pPr>
              <w:rPr>
                <w:color w:val="000000"/>
                <w:lang w:val="uk-UA"/>
              </w:rPr>
            </w:pPr>
          </w:p>
        </w:tc>
      </w:tr>
      <w:tr w:rsidR="006A1BB3" w:rsidRPr="00E21D71" w:rsidTr="004A7D68">
        <w:tc>
          <w:tcPr>
            <w:tcW w:w="3217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3: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залишення без змін існуючого акта</w:t>
            </w:r>
          </w:p>
        </w:tc>
        <w:tc>
          <w:tcPr>
            <w:tcW w:w="3921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Відсутні, оскільки проблема залишається не вирішеною</w:t>
            </w:r>
          </w:p>
        </w:tc>
        <w:tc>
          <w:tcPr>
            <w:tcW w:w="2433" w:type="dxa"/>
          </w:tcPr>
          <w:p w:rsidR="006A1BB3" w:rsidRPr="00E21D71" w:rsidRDefault="006A1BB3" w:rsidP="001E0E60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>- відсутні</w:t>
            </w:r>
          </w:p>
          <w:p w:rsidR="006A1BB3" w:rsidRPr="00E21D71" w:rsidRDefault="006A1BB3" w:rsidP="001E0E60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  <w:r w:rsidRPr="00E21D71">
        <w:rPr>
          <w:i/>
          <w:lang w:val="uk-UA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3540"/>
        <w:gridCol w:w="1853"/>
      </w:tblGrid>
      <w:tr w:rsidR="006A1BB3" w:rsidRPr="00E21D71" w:rsidTr="00E36336">
        <w:tc>
          <w:tcPr>
            <w:tcW w:w="4178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Вид альтернатив</w:t>
            </w:r>
          </w:p>
        </w:tc>
        <w:tc>
          <w:tcPr>
            <w:tcW w:w="3540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Вигоди</w:t>
            </w:r>
          </w:p>
        </w:tc>
        <w:tc>
          <w:tcPr>
            <w:tcW w:w="1853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21D71">
              <w:rPr>
                <w:b/>
                <w:lang w:val="uk-UA"/>
              </w:rPr>
              <w:t>Витрати</w:t>
            </w:r>
          </w:p>
        </w:tc>
      </w:tr>
      <w:tr w:rsidR="006A1BB3" w:rsidRPr="00E21D71" w:rsidTr="00E36336">
        <w:tc>
          <w:tcPr>
            <w:tcW w:w="4178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1: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прийняття запропонованого проекту акта</w:t>
            </w:r>
          </w:p>
        </w:tc>
        <w:tc>
          <w:tcPr>
            <w:tcW w:w="3540" w:type="dxa"/>
          </w:tcPr>
          <w:p w:rsidR="006A1BB3" w:rsidRPr="00E21D71" w:rsidRDefault="006A1BB3" w:rsidP="006C40A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color w:val="000000"/>
                <w:lang w:val="uk-UA"/>
              </w:rPr>
              <w:t xml:space="preserve">- своєчасне надходження до </w:t>
            </w:r>
            <w:r w:rsidR="006C40AE" w:rsidRPr="00E21D71">
              <w:rPr>
                <w:color w:val="000000"/>
                <w:lang w:val="uk-UA"/>
              </w:rPr>
              <w:t>селищного</w:t>
            </w:r>
            <w:r w:rsidRPr="00E21D71">
              <w:rPr>
                <w:color w:val="000000"/>
                <w:lang w:val="uk-UA"/>
              </w:rPr>
              <w:t xml:space="preserve"> бюджету відрахувань від орендної плати.</w:t>
            </w:r>
          </w:p>
        </w:tc>
        <w:tc>
          <w:tcPr>
            <w:tcW w:w="1853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</w:t>
            </w:r>
          </w:p>
        </w:tc>
      </w:tr>
      <w:tr w:rsidR="006A1BB3" w:rsidRPr="00E21D71" w:rsidTr="00E36336">
        <w:tc>
          <w:tcPr>
            <w:tcW w:w="4178" w:type="dxa"/>
          </w:tcPr>
          <w:p w:rsidR="006A1BB3" w:rsidRPr="00E21D71" w:rsidRDefault="006A1BB3" w:rsidP="00E36336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2:</w:t>
            </w:r>
          </w:p>
          <w:p w:rsidR="006A1BB3" w:rsidRPr="00E21D71" w:rsidRDefault="006A1BB3" w:rsidP="00E36336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застосування ринкових механізмів</w:t>
            </w:r>
          </w:p>
        </w:tc>
        <w:tc>
          <w:tcPr>
            <w:tcW w:w="3540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Відсутні, оскільки враховують інтереси тільки суб’єктів господарювання</w:t>
            </w:r>
          </w:p>
        </w:tc>
        <w:tc>
          <w:tcPr>
            <w:tcW w:w="1853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</w:t>
            </w:r>
          </w:p>
        </w:tc>
      </w:tr>
      <w:tr w:rsidR="006A1BB3" w:rsidRPr="00E21D71" w:rsidTr="00E36336">
        <w:tc>
          <w:tcPr>
            <w:tcW w:w="4178" w:type="dxa"/>
          </w:tcPr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Альтернатива 3:</w:t>
            </w:r>
          </w:p>
          <w:p w:rsidR="006A1BB3" w:rsidRPr="00E21D71" w:rsidRDefault="006A1BB3" w:rsidP="00DC595D">
            <w:pPr>
              <w:autoSpaceDE w:val="0"/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залишення без змін існуючого акта</w:t>
            </w:r>
          </w:p>
        </w:tc>
        <w:tc>
          <w:tcPr>
            <w:tcW w:w="3540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Відсутні, оскільки проблема залишається не вирішеною</w:t>
            </w:r>
          </w:p>
        </w:tc>
        <w:tc>
          <w:tcPr>
            <w:tcW w:w="1853" w:type="dxa"/>
          </w:tcPr>
          <w:p w:rsidR="006A1BB3" w:rsidRPr="00E21D71" w:rsidRDefault="006A1BB3" w:rsidP="00DC59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1D71">
              <w:rPr>
                <w:lang w:val="uk-UA"/>
              </w:rPr>
              <w:t>Відсутні</w:t>
            </w:r>
          </w:p>
        </w:tc>
      </w:tr>
    </w:tbl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uk-UA"/>
        </w:rPr>
      </w:pPr>
      <w:r w:rsidRPr="00E21D71">
        <w:rPr>
          <w:i/>
          <w:lang w:val="uk-UA"/>
        </w:rPr>
        <w:t>Оцінка впливу на сферу інтересів суб’єктів господарювання</w:t>
      </w:r>
    </w:p>
    <w:p w:rsidR="006A1BB3" w:rsidRPr="00E21D71" w:rsidRDefault="006A1BB3" w:rsidP="006C40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21D71">
        <w:rPr>
          <w:lang w:val="uk-UA"/>
        </w:rPr>
        <w:t xml:space="preserve">Кількість суб’єктів господарювання, що підпадають під дію регулювання цього регуляторного акта складає </w:t>
      </w:r>
      <w:r w:rsidR="006C40AE" w:rsidRPr="00E21D71">
        <w:rPr>
          <w:lang w:val="uk-UA"/>
        </w:rPr>
        <w:t>18</w:t>
      </w:r>
      <w:r w:rsidRPr="00E21D71">
        <w:rPr>
          <w:lang w:val="uk-UA"/>
        </w:rPr>
        <w:t xml:space="preserve"> суб’єкт</w:t>
      </w:r>
      <w:r w:rsidR="006C40AE" w:rsidRPr="00E21D71">
        <w:rPr>
          <w:lang w:val="uk-UA"/>
        </w:rPr>
        <w:t>ів</w:t>
      </w:r>
      <w:r w:rsidRPr="00E21D71">
        <w:rPr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1276"/>
        <w:gridCol w:w="1276"/>
        <w:gridCol w:w="1276"/>
      </w:tblGrid>
      <w:tr w:rsidR="00166264" w:rsidRPr="00E21D71" w:rsidTr="00166264">
        <w:tc>
          <w:tcPr>
            <w:tcW w:w="4503" w:type="dxa"/>
          </w:tcPr>
          <w:p w:rsidR="00166264" w:rsidRPr="00E21D71" w:rsidRDefault="00166264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 w:eastAsia="ru-RU"/>
              </w:rPr>
              <w:t>Показник</w:t>
            </w:r>
          </w:p>
        </w:tc>
        <w:tc>
          <w:tcPr>
            <w:tcW w:w="1275" w:type="dxa"/>
          </w:tcPr>
          <w:p w:rsidR="00166264" w:rsidRPr="00E21D71" w:rsidRDefault="00166264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 w:eastAsia="ru-RU"/>
              </w:rPr>
              <w:t>Великі</w:t>
            </w:r>
          </w:p>
        </w:tc>
        <w:tc>
          <w:tcPr>
            <w:tcW w:w="1276" w:type="dxa"/>
          </w:tcPr>
          <w:p w:rsidR="00166264" w:rsidRPr="00E21D71" w:rsidRDefault="00166264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 w:eastAsia="ru-RU"/>
              </w:rPr>
              <w:t>Середні</w:t>
            </w:r>
          </w:p>
        </w:tc>
        <w:tc>
          <w:tcPr>
            <w:tcW w:w="1276" w:type="dxa"/>
          </w:tcPr>
          <w:p w:rsidR="00166264" w:rsidRPr="00E21D71" w:rsidRDefault="00166264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 w:eastAsia="ru-RU"/>
              </w:rPr>
              <w:t>Малі</w:t>
            </w:r>
          </w:p>
        </w:tc>
        <w:tc>
          <w:tcPr>
            <w:tcW w:w="1276" w:type="dxa"/>
          </w:tcPr>
          <w:p w:rsidR="00166264" w:rsidRPr="00E21D71" w:rsidRDefault="00166264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 w:eastAsia="ru-RU"/>
              </w:rPr>
              <w:t>Разом</w:t>
            </w:r>
          </w:p>
        </w:tc>
      </w:tr>
      <w:tr w:rsidR="00166264" w:rsidRPr="00E21D71" w:rsidTr="00166264">
        <w:tc>
          <w:tcPr>
            <w:tcW w:w="4503" w:type="dxa"/>
          </w:tcPr>
          <w:p w:rsidR="00166264" w:rsidRPr="00E21D71" w:rsidRDefault="00166264" w:rsidP="00DC595D">
            <w:pPr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1275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80</w:t>
            </w:r>
          </w:p>
        </w:tc>
      </w:tr>
      <w:tr w:rsidR="00166264" w:rsidRPr="00E21D71" w:rsidTr="00166264">
        <w:tc>
          <w:tcPr>
            <w:tcW w:w="4503" w:type="dxa"/>
          </w:tcPr>
          <w:p w:rsidR="00166264" w:rsidRPr="00E21D71" w:rsidRDefault="00166264" w:rsidP="00DC595D">
            <w:pPr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Питома вага групи у загальній кількості (відсотки)</w:t>
            </w:r>
          </w:p>
        </w:tc>
        <w:tc>
          <w:tcPr>
            <w:tcW w:w="1275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85</w:t>
            </w:r>
          </w:p>
        </w:tc>
        <w:tc>
          <w:tcPr>
            <w:tcW w:w="1276" w:type="dxa"/>
            <w:vAlign w:val="center"/>
          </w:tcPr>
          <w:p w:rsidR="00166264" w:rsidRPr="00E21D71" w:rsidRDefault="00166264" w:rsidP="00DC595D">
            <w:pPr>
              <w:jc w:val="center"/>
              <w:rPr>
                <w:color w:val="000000"/>
                <w:lang w:val="uk-UA" w:eastAsia="ru-RU"/>
              </w:rPr>
            </w:pPr>
            <w:r w:rsidRPr="00E21D71">
              <w:rPr>
                <w:color w:val="000000"/>
                <w:lang w:val="uk-UA" w:eastAsia="ru-RU"/>
              </w:rPr>
              <w:t>100</w:t>
            </w:r>
          </w:p>
        </w:tc>
      </w:tr>
    </w:tbl>
    <w:p w:rsidR="006A1BB3" w:rsidRPr="00E21D71" w:rsidRDefault="006A1BB3" w:rsidP="001648EE">
      <w:pPr>
        <w:ind w:firstLine="709"/>
        <w:rPr>
          <w:b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35"/>
        <w:gridCol w:w="3119"/>
      </w:tblGrid>
      <w:tr w:rsidR="006A1BB3" w:rsidRPr="00E21D71" w:rsidTr="00A5724F">
        <w:tc>
          <w:tcPr>
            <w:tcW w:w="3652" w:type="dxa"/>
          </w:tcPr>
          <w:p w:rsidR="006A1BB3" w:rsidRPr="00E21D71" w:rsidRDefault="006A1BB3" w:rsidP="001E0E60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Рейтинг результативності</w:t>
            </w:r>
          </w:p>
        </w:tc>
        <w:tc>
          <w:tcPr>
            <w:tcW w:w="2835" w:type="dxa"/>
          </w:tcPr>
          <w:p w:rsidR="006A1BB3" w:rsidRPr="00E21D71" w:rsidRDefault="006A1BB3" w:rsidP="001E0E60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Вигоди</w:t>
            </w:r>
          </w:p>
        </w:tc>
        <w:tc>
          <w:tcPr>
            <w:tcW w:w="3119" w:type="dxa"/>
          </w:tcPr>
          <w:p w:rsidR="006A1BB3" w:rsidRPr="00E21D71" w:rsidRDefault="006A1BB3" w:rsidP="001E0E60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Витрати</w:t>
            </w:r>
          </w:p>
        </w:tc>
      </w:tr>
      <w:tr w:rsidR="006A1BB3" w:rsidRPr="00E21D71" w:rsidTr="00A5724F">
        <w:tc>
          <w:tcPr>
            <w:tcW w:w="3652" w:type="dxa"/>
          </w:tcPr>
          <w:p w:rsidR="006A1BB3" w:rsidRPr="00E21D71" w:rsidRDefault="006A1BB3" w:rsidP="00EC4BBE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3:</w:t>
            </w:r>
          </w:p>
          <w:p w:rsidR="006A1BB3" w:rsidRPr="00E21D71" w:rsidRDefault="006A1BB3" w:rsidP="00EC4BBE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Прийняття запропонованого проекту акта</w:t>
            </w:r>
          </w:p>
        </w:tc>
        <w:tc>
          <w:tcPr>
            <w:tcW w:w="2835" w:type="dxa"/>
          </w:tcPr>
          <w:p w:rsidR="006A1BB3" w:rsidRPr="00E21D71" w:rsidRDefault="006A1BB3" w:rsidP="00EC4BBE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 xml:space="preserve">- конкурентні орендні ставки користування майном, що перебуває у </w:t>
            </w:r>
            <w:r w:rsidR="006C40AE" w:rsidRPr="00E21D71">
              <w:rPr>
                <w:color w:val="000000"/>
                <w:lang w:val="uk-UA"/>
              </w:rPr>
              <w:t>комунальній</w:t>
            </w:r>
            <w:r w:rsidRPr="00E21D71">
              <w:rPr>
                <w:color w:val="000000"/>
                <w:lang w:val="uk-UA"/>
              </w:rPr>
              <w:t xml:space="preserve"> власності </w:t>
            </w:r>
            <w:r w:rsidR="006C40AE" w:rsidRPr="00E21D71">
              <w:rPr>
                <w:color w:val="000000"/>
                <w:lang w:val="uk-UA"/>
              </w:rPr>
              <w:t xml:space="preserve">об’єднаної </w:t>
            </w:r>
            <w:r w:rsidRPr="00E21D71">
              <w:rPr>
                <w:color w:val="000000"/>
                <w:lang w:val="uk-UA"/>
              </w:rPr>
              <w:t>територіальн</w:t>
            </w:r>
            <w:r w:rsidR="006C40AE" w:rsidRPr="00E21D71">
              <w:rPr>
                <w:color w:val="000000"/>
                <w:lang w:val="uk-UA"/>
              </w:rPr>
              <w:t>ої</w:t>
            </w:r>
            <w:r w:rsidRPr="00E21D71">
              <w:rPr>
                <w:color w:val="000000"/>
                <w:lang w:val="uk-UA"/>
              </w:rPr>
              <w:t xml:space="preserve"> громад</w:t>
            </w:r>
            <w:r w:rsidR="006C40AE" w:rsidRPr="00E21D71">
              <w:rPr>
                <w:color w:val="000000"/>
                <w:lang w:val="uk-UA"/>
              </w:rPr>
              <w:t>и</w:t>
            </w:r>
            <w:r w:rsidRPr="00E21D71">
              <w:rPr>
                <w:color w:val="000000"/>
                <w:lang w:val="uk-UA"/>
              </w:rPr>
              <w:t>;</w:t>
            </w:r>
          </w:p>
          <w:p w:rsidR="006A1BB3" w:rsidRPr="00E21D71" w:rsidRDefault="006A1BB3" w:rsidP="00EC4BBE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t xml:space="preserve">- можливість внесення зауважень та пропозицій до проекту регуляторного акту до моменту оприлюднення </w:t>
            </w:r>
            <w:r w:rsidRPr="00E21D71">
              <w:rPr>
                <w:color w:val="000000"/>
                <w:lang w:val="uk-UA"/>
              </w:rPr>
              <w:lastRenderedPageBreak/>
              <w:t>та на стадії його оприлюднення</w:t>
            </w:r>
          </w:p>
          <w:p w:rsidR="006A1BB3" w:rsidRPr="00E21D71" w:rsidRDefault="006A1BB3" w:rsidP="00DC595D">
            <w:pPr>
              <w:rPr>
                <w:lang w:val="uk-UA" w:eastAsia="ru-RU"/>
              </w:rPr>
            </w:pPr>
          </w:p>
        </w:tc>
        <w:tc>
          <w:tcPr>
            <w:tcW w:w="3119" w:type="dxa"/>
          </w:tcPr>
          <w:p w:rsidR="006A1BB3" w:rsidRPr="00E21D71" w:rsidRDefault="006A1BB3" w:rsidP="00EC4BBE">
            <w:pPr>
              <w:rPr>
                <w:color w:val="000000"/>
                <w:lang w:val="uk-UA"/>
              </w:rPr>
            </w:pPr>
            <w:r w:rsidRPr="00E21D71">
              <w:rPr>
                <w:color w:val="000000"/>
                <w:lang w:val="uk-UA"/>
              </w:rPr>
              <w:lastRenderedPageBreak/>
              <w:t>- витрати, що включаються до собівартості, які виникнуть при збільшенні орендних ставок</w:t>
            </w:r>
          </w:p>
          <w:p w:rsidR="006A1BB3" w:rsidRPr="00E21D71" w:rsidRDefault="006A1BB3" w:rsidP="00DC595D">
            <w:pPr>
              <w:rPr>
                <w:lang w:val="uk-UA" w:eastAsia="ru-RU"/>
              </w:rPr>
            </w:pPr>
          </w:p>
        </w:tc>
      </w:tr>
      <w:tr w:rsidR="006A1BB3" w:rsidRPr="00E21D71" w:rsidTr="00A5724F">
        <w:tc>
          <w:tcPr>
            <w:tcW w:w="3652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lastRenderedPageBreak/>
              <w:t>Альтернатива 2:</w:t>
            </w:r>
          </w:p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Застосування ринкових механізмів</w:t>
            </w:r>
          </w:p>
        </w:tc>
        <w:tc>
          <w:tcPr>
            <w:tcW w:w="2835" w:type="dxa"/>
          </w:tcPr>
          <w:p w:rsidR="006A1BB3" w:rsidRPr="00E21D71" w:rsidRDefault="006A1BB3" w:rsidP="00A5724F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- можливість зміни орендної плати відповідно до фінансової спроможності</w:t>
            </w:r>
          </w:p>
        </w:tc>
        <w:tc>
          <w:tcPr>
            <w:tcW w:w="3119" w:type="dxa"/>
          </w:tcPr>
          <w:p w:rsidR="006A1BB3" w:rsidRPr="00E21D71" w:rsidRDefault="006A1BB3" w:rsidP="00AF2831">
            <w:pPr>
              <w:rPr>
                <w:lang w:val="uk-UA" w:eastAsia="ru-RU"/>
              </w:rPr>
            </w:pPr>
            <w:r w:rsidRPr="00E21D71">
              <w:rPr>
                <w:color w:val="000000"/>
                <w:lang w:val="uk-UA"/>
              </w:rPr>
              <w:t>- витрати, що включаються до собівартості</w:t>
            </w:r>
          </w:p>
        </w:tc>
      </w:tr>
      <w:tr w:rsidR="006A1BB3" w:rsidRPr="00E21D71" w:rsidTr="00A5724F">
        <w:tc>
          <w:tcPr>
            <w:tcW w:w="3652" w:type="dxa"/>
          </w:tcPr>
          <w:p w:rsidR="006A1BB3" w:rsidRPr="00E21D71" w:rsidRDefault="006A1BB3" w:rsidP="00EC4BBE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3:</w:t>
            </w:r>
          </w:p>
          <w:p w:rsidR="006A1BB3" w:rsidRPr="00E21D71" w:rsidRDefault="006A1BB3" w:rsidP="00EC4BBE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збереження чинного регулювання (залишення існуючої ситуації без змін)</w:t>
            </w:r>
          </w:p>
        </w:tc>
        <w:tc>
          <w:tcPr>
            <w:tcW w:w="2835" w:type="dxa"/>
          </w:tcPr>
          <w:p w:rsidR="006A1BB3" w:rsidRPr="00E21D71" w:rsidRDefault="006A1BB3" w:rsidP="00773638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Відсутні</w:t>
            </w:r>
          </w:p>
        </w:tc>
        <w:tc>
          <w:tcPr>
            <w:tcW w:w="3119" w:type="dxa"/>
          </w:tcPr>
          <w:p w:rsidR="006A1BB3" w:rsidRPr="00E21D71" w:rsidRDefault="006A1BB3" w:rsidP="00A5724F">
            <w:pPr>
              <w:rPr>
                <w:lang w:val="uk-UA" w:eastAsia="ru-RU"/>
              </w:rPr>
            </w:pPr>
            <w:r w:rsidRPr="00E21D71">
              <w:rPr>
                <w:color w:val="000000"/>
                <w:lang w:val="uk-UA"/>
              </w:rPr>
              <w:t>- витрати, що включаються до собівартості</w:t>
            </w:r>
          </w:p>
        </w:tc>
      </w:tr>
    </w:tbl>
    <w:p w:rsidR="006A1BB3" w:rsidRPr="00E21D71" w:rsidRDefault="006A1BB3" w:rsidP="001648EE">
      <w:pPr>
        <w:ind w:firstLine="709"/>
        <w:rPr>
          <w:b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3118"/>
        <w:gridCol w:w="3119"/>
      </w:tblGrid>
      <w:tr w:rsidR="006A1BB3" w:rsidRPr="00E21D71" w:rsidTr="00BC272A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A1BB3" w:rsidRPr="00E21D71" w:rsidRDefault="006A1BB3" w:rsidP="00BC272A">
            <w:pPr>
              <w:suppressAutoHyphens w:val="0"/>
              <w:spacing w:after="200" w:line="276" w:lineRule="auto"/>
              <w:rPr>
                <w:color w:val="4F6228"/>
                <w:lang w:val="uk-UA"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A1BB3" w:rsidRPr="00E21D71" w:rsidRDefault="006A1BB3" w:rsidP="00DC595D">
            <w:pPr>
              <w:spacing w:before="150" w:after="150"/>
              <w:textAlignment w:val="baseline"/>
              <w:rPr>
                <w:color w:val="4F6228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A1BB3" w:rsidRPr="00E21D71" w:rsidRDefault="006A1BB3" w:rsidP="00DC595D">
            <w:pPr>
              <w:spacing w:before="150" w:after="150"/>
              <w:textAlignment w:val="baseline"/>
              <w:rPr>
                <w:color w:val="4F6228"/>
                <w:lang w:val="uk-UA" w:eastAsia="ru-RU"/>
              </w:rPr>
            </w:pPr>
          </w:p>
        </w:tc>
      </w:tr>
    </w:tbl>
    <w:p w:rsidR="006A1BB3" w:rsidRPr="00E21D71" w:rsidRDefault="006A1BB3" w:rsidP="003F44CD">
      <w:pPr>
        <w:ind w:firstLine="709"/>
        <w:jc w:val="both"/>
        <w:rPr>
          <w:b/>
          <w:lang w:val="uk-UA" w:eastAsia="ru-RU"/>
        </w:rPr>
      </w:pPr>
      <w:r w:rsidRPr="00E21D71">
        <w:rPr>
          <w:rStyle w:val="a3"/>
          <w:bCs/>
          <w:shd w:val="clear" w:color="auto" w:fill="FFFFFF"/>
          <w:lang w:val="uk-UA"/>
        </w:rPr>
        <w:t>IV. Вибір найбільш оптимального альтернативного способу досягнення цілей</w:t>
      </w:r>
    </w:p>
    <w:p w:rsidR="006A1BB3" w:rsidRPr="00E21D71" w:rsidRDefault="006A1BB3" w:rsidP="003F44CD">
      <w:pPr>
        <w:ind w:firstLine="709"/>
        <w:jc w:val="both"/>
        <w:rPr>
          <w:shd w:val="clear" w:color="auto" w:fill="FFFFFF"/>
          <w:lang w:val="uk-UA"/>
        </w:rPr>
      </w:pPr>
      <w:r w:rsidRPr="00E21D71">
        <w:rPr>
          <w:shd w:val="clear" w:color="auto" w:fill="FFFFFF"/>
          <w:lang w:val="uk-UA"/>
        </w:rPr>
        <w:t>Єдиним способом розв’язання вищезазначеної проблеми, що відповідає потребам та забезпечує поступове досягнення встановлених цілей, є прийняття</w:t>
      </w:r>
      <w:r w:rsidRPr="00E21D71">
        <w:rPr>
          <w:color w:val="4F6228"/>
          <w:shd w:val="clear" w:color="auto" w:fill="FFFFFF"/>
          <w:lang w:val="uk-UA"/>
        </w:rPr>
        <w:t xml:space="preserve"> </w:t>
      </w:r>
      <w:r w:rsidRPr="00E21D71">
        <w:rPr>
          <w:shd w:val="clear" w:color="auto" w:fill="FFFFFF"/>
          <w:lang w:val="uk-UA"/>
        </w:rPr>
        <w:t>зазначеного регуляторного акту.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874"/>
        <w:gridCol w:w="3726"/>
      </w:tblGrid>
      <w:tr w:rsidR="006A1BB3" w:rsidRPr="00E21D71" w:rsidTr="00DC595D">
        <w:tc>
          <w:tcPr>
            <w:tcW w:w="2858" w:type="dxa"/>
          </w:tcPr>
          <w:p w:rsidR="006A1BB3" w:rsidRPr="00E21D71" w:rsidRDefault="006A1BB3" w:rsidP="00DC595D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74" w:type="dxa"/>
          </w:tcPr>
          <w:p w:rsidR="006A1BB3" w:rsidRPr="00E21D71" w:rsidRDefault="006A1BB3" w:rsidP="00DC595D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3726" w:type="dxa"/>
          </w:tcPr>
          <w:p w:rsidR="006A1BB3" w:rsidRPr="00E21D71" w:rsidRDefault="006A1BB3" w:rsidP="00DC595D">
            <w:pPr>
              <w:jc w:val="center"/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Коментарі щодо присвоєння відповідного бала</w:t>
            </w:r>
          </w:p>
        </w:tc>
      </w:tr>
      <w:tr w:rsidR="006A1BB3" w:rsidRPr="00E21D71" w:rsidTr="00DC595D">
        <w:tc>
          <w:tcPr>
            <w:tcW w:w="2858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1:</w:t>
            </w:r>
          </w:p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Прийняття запропонованого проекту акта</w:t>
            </w:r>
          </w:p>
        </w:tc>
        <w:tc>
          <w:tcPr>
            <w:tcW w:w="2874" w:type="dxa"/>
          </w:tcPr>
          <w:p w:rsidR="006A1BB3" w:rsidRPr="00E21D71" w:rsidRDefault="006A1BB3" w:rsidP="0071475B">
            <w:pPr>
              <w:jc w:val="center"/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4</w:t>
            </w:r>
          </w:p>
        </w:tc>
        <w:tc>
          <w:tcPr>
            <w:tcW w:w="3726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Прийняття акта забезпечить повною мірою досягнення поставлених цілей</w:t>
            </w:r>
          </w:p>
        </w:tc>
      </w:tr>
      <w:tr w:rsidR="006A1BB3" w:rsidRPr="00E21D71" w:rsidTr="00DC595D">
        <w:tc>
          <w:tcPr>
            <w:tcW w:w="2858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2:</w:t>
            </w:r>
          </w:p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Застосування ринкових механізмів</w:t>
            </w:r>
          </w:p>
        </w:tc>
        <w:tc>
          <w:tcPr>
            <w:tcW w:w="2874" w:type="dxa"/>
          </w:tcPr>
          <w:p w:rsidR="006A1BB3" w:rsidRPr="00E21D71" w:rsidRDefault="006A1BB3" w:rsidP="00DC595D">
            <w:pPr>
              <w:jc w:val="center"/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2</w:t>
            </w:r>
          </w:p>
        </w:tc>
        <w:tc>
          <w:tcPr>
            <w:tcW w:w="3726" w:type="dxa"/>
          </w:tcPr>
          <w:p w:rsidR="006A1BB3" w:rsidRPr="00E21D71" w:rsidRDefault="006A1BB3" w:rsidP="006C40AE">
            <w:pPr>
              <w:rPr>
                <w:lang w:val="uk-UA" w:eastAsia="ru-RU"/>
              </w:rPr>
            </w:pPr>
            <w:r w:rsidRPr="00E21D71">
              <w:rPr>
                <w:lang w:val="uk-UA"/>
              </w:rPr>
              <w:t xml:space="preserve">Неможливо використати для досягнення цілей регулювання, оскільки ринкові механізми враховують, перш за все, інтереси суб’єктів господарювання, а не </w:t>
            </w:r>
            <w:r w:rsidR="006C40AE" w:rsidRPr="00E21D71">
              <w:rPr>
                <w:lang w:val="uk-UA"/>
              </w:rPr>
              <w:t xml:space="preserve">об’єднаної </w:t>
            </w:r>
            <w:r w:rsidRPr="00E21D71">
              <w:rPr>
                <w:lang w:val="uk-UA"/>
              </w:rPr>
              <w:t>територіальної громади, а це, в свою чергу, може призвести до застосування занижених орендних ставок на майно</w:t>
            </w:r>
            <w:r w:rsidR="006C40AE" w:rsidRPr="00E21D71">
              <w:rPr>
                <w:lang w:val="uk-UA"/>
              </w:rPr>
              <w:t>, що перебуває</w:t>
            </w:r>
            <w:r w:rsidRPr="00E21D71">
              <w:rPr>
                <w:bCs/>
                <w:kern w:val="36"/>
                <w:lang w:val="uk-UA"/>
              </w:rPr>
              <w:t xml:space="preserve"> </w:t>
            </w:r>
            <w:r w:rsidR="006C40AE" w:rsidRPr="00E21D71">
              <w:rPr>
                <w:color w:val="000000"/>
                <w:lang w:val="uk-UA" w:eastAsia="ru-RU"/>
              </w:rPr>
              <w:t>у комунальній власності Тростянецької селищної об’єднаної територіальної громади</w:t>
            </w:r>
            <w:r w:rsidRPr="00E21D71">
              <w:rPr>
                <w:bCs/>
                <w:kern w:val="36"/>
                <w:lang w:val="uk-UA"/>
              </w:rPr>
              <w:t xml:space="preserve"> та, відповідно,  зменшення надходжень до </w:t>
            </w:r>
            <w:r w:rsidR="006C40AE" w:rsidRPr="00E21D71">
              <w:rPr>
                <w:bCs/>
                <w:kern w:val="36"/>
                <w:lang w:val="uk-UA"/>
              </w:rPr>
              <w:t xml:space="preserve">селищного </w:t>
            </w:r>
            <w:r w:rsidRPr="00E21D71">
              <w:rPr>
                <w:bCs/>
                <w:kern w:val="36"/>
                <w:lang w:val="uk-UA"/>
              </w:rPr>
              <w:t>бюджету.</w:t>
            </w:r>
          </w:p>
        </w:tc>
      </w:tr>
      <w:tr w:rsidR="006A1BB3" w:rsidRPr="00E21D71" w:rsidTr="00DC595D">
        <w:tc>
          <w:tcPr>
            <w:tcW w:w="2858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3:</w:t>
            </w:r>
          </w:p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збереження чинного регулювання (залишення існуючої ситуації без змін)</w:t>
            </w:r>
          </w:p>
        </w:tc>
        <w:tc>
          <w:tcPr>
            <w:tcW w:w="2874" w:type="dxa"/>
          </w:tcPr>
          <w:p w:rsidR="006A1BB3" w:rsidRPr="00E21D71" w:rsidRDefault="006A1BB3" w:rsidP="0071475B">
            <w:pPr>
              <w:jc w:val="center"/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1</w:t>
            </w:r>
          </w:p>
        </w:tc>
        <w:tc>
          <w:tcPr>
            <w:tcW w:w="3726" w:type="dxa"/>
          </w:tcPr>
          <w:p w:rsidR="006A1BB3" w:rsidRPr="00E21D71" w:rsidRDefault="006A1BB3" w:rsidP="006C40AE">
            <w:pPr>
              <w:rPr>
                <w:lang w:val="uk-UA" w:eastAsia="ru-RU"/>
              </w:rPr>
            </w:pPr>
            <w:r w:rsidRPr="00E21D71">
              <w:rPr>
                <w:lang w:val="uk-UA"/>
              </w:rPr>
              <w:t xml:space="preserve">Не вирішує порушену проблему, оскільки орендні ставки, що застосовуються, встановлені на рівні орендних ставок для оренди державного майна, та на сьогодні є ринково не обґрунтованими та заниженими для </w:t>
            </w:r>
            <w:r w:rsidR="006C40AE" w:rsidRPr="00E21D71">
              <w:rPr>
                <w:lang w:val="uk-UA"/>
              </w:rPr>
              <w:t>територіальної громади</w:t>
            </w:r>
            <w:r w:rsidRPr="00E21D71">
              <w:rPr>
                <w:lang w:val="uk-UA"/>
              </w:rPr>
              <w:t xml:space="preserve">, не забезпечують належного наповнення </w:t>
            </w:r>
            <w:r w:rsidR="006C40AE" w:rsidRPr="00E21D71">
              <w:rPr>
                <w:lang w:val="uk-UA"/>
              </w:rPr>
              <w:t>селищного</w:t>
            </w:r>
            <w:r w:rsidRPr="00E21D71">
              <w:rPr>
                <w:lang w:val="uk-UA"/>
              </w:rPr>
              <w:t xml:space="preserve"> бюджету.</w:t>
            </w:r>
          </w:p>
        </w:tc>
      </w:tr>
    </w:tbl>
    <w:p w:rsidR="006A1BB3" w:rsidRPr="00E21D71" w:rsidRDefault="006A1BB3" w:rsidP="001648E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6A1BB3" w:rsidRPr="00E21D71" w:rsidRDefault="006A1BB3" w:rsidP="001648E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21D71">
        <w:lastRenderedPageBreak/>
        <w:t xml:space="preserve">Враховуючи вищевикладене, було обрано шлях часткового збільшення орендних ставок,  шляхом </w:t>
      </w:r>
      <w:r w:rsidR="006C40AE" w:rsidRPr="00E21D71">
        <w:t xml:space="preserve">внесення проекту нового рішення </w:t>
      </w:r>
      <w:r w:rsidR="006C40AE" w:rsidRPr="00E21D71">
        <w:rPr>
          <w:color w:val="000000"/>
          <w:lang w:eastAsia="ru-RU"/>
        </w:rPr>
        <w:t>Тростянецької селищної ради «Про порядок надання в оренду майна, що є комунальною власністю Тростянецької селищної об’єднаної територіальної громади»</w:t>
      </w:r>
      <w:r w:rsidR="006C40AE" w:rsidRPr="00E21D71">
        <w:rPr>
          <w:color w:val="00000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186"/>
        <w:gridCol w:w="2460"/>
        <w:gridCol w:w="2463"/>
      </w:tblGrid>
      <w:tr w:rsidR="006A1BB3" w:rsidRPr="00E21D71" w:rsidTr="00EC4BBE">
        <w:tc>
          <w:tcPr>
            <w:tcW w:w="2462" w:type="dxa"/>
          </w:tcPr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Рейтинг результативності</w:t>
            </w:r>
          </w:p>
        </w:tc>
        <w:tc>
          <w:tcPr>
            <w:tcW w:w="2186" w:type="dxa"/>
          </w:tcPr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Вигоди (підсумок)</w:t>
            </w:r>
          </w:p>
        </w:tc>
        <w:tc>
          <w:tcPr>
            <w:tcW w:w="2460" w:type="dxa"/>
          </w:tcPr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Витрати (підсумок)</w:t>
            </w:r>
          </w:p>
        </w:tc>
        <w:tc>
          <w:tcPr>
            <w:tcW w:w="2463" w:type="dxa"/>
          </w:tcPr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b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6A1BB3" w:rsidRPr="00E21D71" w:rsidTr="00EC4BBE">
        <w:tc>
          <w:tcPr>
            <w:tcW w:w="2462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1:</w:t>
            </w:r>
          </w:p>
          <w:p w:rsidR="006A1BB3" w:rsidRPr="00E21D71" w:rsidRDefault="006A1BB3" w:rsidP="0071475B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Прийняття запропонованого проекту акта</w:t>
            </w:r>
          </w:p>
        </w:tc>
        <w:tc>
          <w:tcPr>
            <w:tcW w:w="2186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 xml:space="preserve">Забезпечено  баланс інтересів держави, громадян, суб’єктів господарювання </w:t>
            </w:r>
          </w:p>
        </w:tc>
        <w:tc>
          <w:tcPr>
            <w:tcW w:w="2460" w:type="dxa"/>
          </w:tcPr>
          <w:p w:rsidR="006A1BB3" w:rsidRPr="00E21D71" w:rsidRDefault="006A1BB3" w:rsidP="00481958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Витрати на оренду</w:t>
            </w:r>
          </w:p>
        </w:tc>
        <w:tc>
          <w:tcPr>
            <w:tcW w:w="2463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 xml:space="preserve">Дана альтернатива забезпечить повною мірою досягнення поставлених цілей державного регулювання </w:t>
            </w:r>
          </w:p>
        </w:tc>
      </w:tr>
      <w:tr w:rsidR="006A1BB3" w:rsidRPr="00E21D71" w:rsidTr="00EC4BBE">
        <w:tc>
          <w:tcPr>
            <w:tcW w:w="2462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2:</w:t>
            </w:r>
          </w:p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Застосування ринкових механізмів</w:t>
            </w:r>
          </w:p>
        </w:tc>
        <w:tc>
          <w:tcPr>
            <w:tcW w:w="2186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Відсутні</w:t>
            </w:r>
          </w:p>
        </w:tc>
        <w:tc>
          <w:tcPr>
            <w:tcW w:w="2460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Витрати на оренду</w:t>
            </w:r>
          </w:p>
        </w:tc>
        <w:tc>
          <w:tcPr>
            <w:tcW w:w="2463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 xml:space="preserve">Такий спосіб є також недоцільним, так як </w:t>
            </w:r>
          </w:p>
          <w:p w:rsidR="006A1BB3" w:rsidRPr="00E21D71" w:rsidRDefault="006A1BB3" w:rsidP="006C40AE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 xml:space="preserve">призводить до зменшення надходжень до </w:t>
            </w:r>
            <w:r w:rsidR="006C40AE" w:rsidRPr="00E21D71">
              <w:rPr>
                <w:lang w:val="uk-UA" w:eastAsia="ru-RU"/>
              </w:rPr>
              <w:t>селищного</w:t>
            </w:r>
            <w:r w:rsidRPr="00E21D71">
              <w:rPr>
                <w:lang w:val="uk-UA" w:eastAsia="ru-RU"/>
              </w:rPr>
              <w:t xml:space="preserve"> бюджету</w:t>
            </w:r>
          </w:p>
        </w:tc>
      </w:tr>
      <w:tr w:rsidR="006A1BB3" w:rsidRPr="00E21D71" w:rsidTr="00EC4BBE">
        <w:tc>
          <w:tcPr>
            <w:tcW w:w="2462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3:</w:t>
            </w:r>
          </w:p>
          <w:p w:rsidR="006A1BB3" w:rsidRPr="00E21D71" w:rsidRDefault="006A1BB3" w:rsidP="0071475B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збереження чинного регулювання (залишення існуючої ситуації без змін)</w:t>
            </w:r>
          </w:p>
        </w:tc>
        <w:tc>
          <w:tcPr>
            <w:tcW w:w="2186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Відсутні</w:t>
            </w:r>
          </w:p>
        </w:tc>
        <w:tc>
          <w:tcPr>
            <w:tcW w:w="2460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Витрати на оренду</w:t>
            </w:r>
          </w:p>
        </w:tc>
        <w:tc>
          <w:tcPr>
            <w:tcW w:w="2463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shd w:val="clear" w:color="auto" w:fill="FFFFFF"/>
                <w:lang w:val="uk-UA"/>
              </w:rPr>
              <w:t>Визначена проблема продовжує існувати і не може бути розв’язана</w:t>
            </w:r>
          </w:p>
        </w:tc>
      </w:tr>
    </w:tbl>
    <w:p w:rsidR="006A1BB3" w:rsidRPr="00E21D71" w:rsidRDefault="006A1BB3" w:rsidP="001648EE">
      <w:pPr>
        <w:ind w:firstLine="709"/>
        <w:rPr>
          <w:b/>
          <w:lang w:val="uk-UA" w:eastAsia="ru-RU"/>
        </w:rPr>
      </w:pPr>
    </w:p>
    <w:p w:rsidR="006A1BB3" w:rsidRPr="00E21D71" w:rsidRDefault="006A1BB3" w:rsidP="001648EE">
      <w:pPr>
        <w:ind w:firstLine="709"/>
        <w:rPr>
          <w:b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4290"/>
        <w:gridCol w:w="2420"/>
      </w:tblGrid>
      <w:tr w:rsidR="006A1BB3" w:rsidRPr="00E21D71" w:rsidTr="00DC595D">
        <w:tc>
          <w:tcPr>
            <w:tcW w:w="2638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Рейтинг</w:t>
            </w:r>
          </w:p>
        </w:tc>
        <w:tc>
          <w:tcPr>
            <w:tcW w:w="4290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420" w:type="dxa"/>
          </w:tcPr>
          <w:p w:rsidR="006A1BB3" w:rsidRPr="00E21D71" w:rsidRDefault="006A1BB3" w:rsidP="00DC595D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E21D71">
              <w:rPr>
                <w:b/>
                <w:color w:val="000000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A1BB3" w:rsidRPr="00E21D71" w:rsidTr="00434F34">
        <w:tc>
          <w:tcPr>
            <w:tcW w:w="2638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1:</w:t>
            </w:r>
          </w:p>
          <w:p w:rsidR="006A1BB3" w:rsidRPr="00E21D71" w:rsidRDefault="006A1BB3" w:rsidP="0071475B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Прийняття запропонованого проекту акта</w:t>
            </w:r>
          </w:p>
        </w:tc>
        <w:tc>
          <w:tcPr>
            <w:tcW w:w="4290" w:type="dxa"/>
          </w:tcPr>
          <w:p w:rsidR="006A1BB3" w:rsidRPr="00E21D71" w:rsidRDefault="006A1BB3" w:rsidP="006C40AE">
            <w:pPr>
              <w:rPr>
                <w:lang w:val="uk-UA"/>
              </w:rPr>
            </w:pPr>
            <w:r w:rsidRPr="00E21D71">
              <w:rPr>
                <w:lang w:val="uk-UA" w:eastAsia="ru-RU"/>
              </w:rPr>
              <w:t xml:space="preserve">Прийняття акта забезпечить приведення змісту Методики розрахунку орендної плати за оренду майна комунальної власності та пропорції її розподілу </w:t>
            </w:r>
            <w:r w:rsidRPr="00E21D71">
              <w:rPr>
                <w:lang w:val="uk-UA"/>
              </w:rPr>
              <w:t>та до ринково обґрунтованих орендних ставок</w:t>
            </w:r>
          </w:p>
        </w:tc>
        <w:tc>
          <w:tcPr>
            <w:tcW w:w="2420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Вплив зовнішніх факторів на дію регуляторного акта не очікується</w:t>
            </w:r>
          </w:p>
        </w:tc>
      </w:tr>
      <w:tr w:rsidR="006A1BB3" w:rsidRPr="00E21D71" w:rsidTr="00DC595D">
        <w:tc>
          <w:tcPr>
            <w:tcW w:w="2638" w:type="dxa"/>
          </w:tcPr>
          <w:p w:rsidR="006A1BB3" w:rsidRPr="00E21D71" w:rsidRDefault="006A1BB3" w:rsidP="00DC595D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2:</w:t>
            </w:r>
          </w:p>
          <w:p w:rsidR="006A1BB3" w:rsidRPr="00E21D71" w:rsidRDefault="006A1BB3" w:rsidP="00DC595D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Застосування ринкових механізмів</w:t>
            </w:r>
          </w:p>
        </w:tc>
        <w:tc>
          <w:tcPr>
            <w:tcW w:w="4290" w:type="dxa"/>
          </w:tcPr>
          <w:p w:rsidR="006A1BB3" w:rsidRPr="00E21D71" w:rsidRDefault="006A1BB3" w:rsidP="00DC595D">
            <w:pPr>
              <w:rPr>
                <w:lang w:val="uk-UA"/>
              </w:rPr>
            </w:pPr>
            <w:r w:rsidRPr="00E21D71">
              <w:rPr>
                <w:shd w:val="clear" w:color="auto" w:fill="FFFFFF"/>
                <w:lang w:val="uk-UA"/>
              </w:rPr>
              <w:t>Аргументи для переваги відсутні. Причина для відмови від цієї альтернативи полягає в тому, що не охоплюються інтереси усіх сторін, а це призведе до зменшення надходжень до бюджету</w:t>
            </w:r>
          </w:p>
        </w:tc>
        <w:tc>
          <w:tcPr>
            <w:tcW w:w="2420" w:type="dxa"/>
            <w:vAlign w:val="center"/>
          </w:tcPr>
          <w:p w:rsidR="006A1BB3" w:rsidRPr="00E21D71" w:rsidRDefault="006A1BB3" w:rsidP="00DC595D">
            <w:pPr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 xml:space="preserve">Відсутні </w:t>
            </w:r>
          </w:p>
          <w:p w:rsidR="006A1BB3" w:rsidRPr="00E21D71" w:rsidRDefault="006A1BB3" w:rsidP="00DC595D">
            <w:pPr>
              <w:jc w:val="center"/>
              <w:rPr>
                <w:color w:val="FF0000"/>
                <w:lang w:val="uk-UA"/>
              </w:rPr>
            </w:pPr>
          </w:p>
        </w:tc>
      </w:tr>
      <w:tr w:rsidR="006A1BB3" w:rsidRPr="00E21D71" w:rsidTr="008437FC">
        <w:tc>
          <w:tcPr>
            <w:tcW w:w="2638" w:type="dxa"/>
          </w:tcPr>
          <w:p w:rsidR="006A1BB3" w:rsidRPr="00E21D71" w:rsidRDefault="006A1BB3" w:rsidP="0071475B">
            <w:pPr>
              <w:rPr>
                <w:lang w:val="uk-UA" w:eastAsia="ru-RU"/>
              </w:rPr>
            </w:pPr>
            <w:r w:rsidRPr="00E21D71">
              <w:rPr>
                <w:lang w:val="uk-UA" w:eastAsia="ru-RU"/>
              </w:rPr>
              <w:t>Альтернатива 3:</w:t>
            </w:r>
          </w:p>
          <w:p w:rsidR="006A1BB3" w:rsidRPr="00E21D71" w:rsidRDefault="006A1BB3" w:rsidP="0071475B">
            <w:pPr>
              <w:rPr>
                <w:b/>
                <w:lang w:val="uk-UA" w:eastAsia="ru-RU"/>
              </w:rPr>
            </w:pPr>
            <w:r w:rsidRPr="00E21D71">
              <w:rPr>
                <w:lang w:val="uk-UA" w:eastAsia="ru-RU"/>
              </w:rPr>
              <w:t>збереження чинного регулювання (залишення існуючої ситуації без змін)</w:t>
            </w:r>
          </w:p>
        </w:tc>
        <w:tc>
          <w:tcPr>
            <w:tcW w:w="4290" w:type="dxa"/>
          </w:tcPr>
          <w:p w:rsidR="006A1BB3" w:rsidRPr="00E21D71" w:rsidRDefault="006A1BB3" w:rsidP="0071475B">
            <w:pPr>
              <w:rPr>
                <w:lang w:val="uk-UA"/>
              </w:rPr>
            </w:pPr>
            <w:r w:rsidRPr="00E21D71">
              <w:rPr>
                <w:lang w:val="uk-UA"/>
              </w:rPr>
              <w:t xml:space="preserve">Неприйнятна альтернатива з огляду на необхідність приведення до ринково обґрунтованих орендних ставок </w:t>
            </w:r>
          </w:p>
        </w:tc>
        <w:tc>
          <w:tcPr>
            <w:tcW w:w="2420" w:type="dxa"/>
            <w:vAlign w:val="center"/>
          </w:tcPr>
          <w:p w:rsidR="006A1BB3" w:rsidRPr="00E21D71" w:rsidRDefault="006A1BB3" w:rsidP="0071475B">
            <w:pPr>
              <w:jc w:val="center"/>
              <w:rPr>
                <w:lang w:val="uk-UA"/>
              </w:rPr>
            </w:pPr>
            <w:r w:rsidRPr="00E21D71">
              <w:rPr>
                <w:lang w:val="uk-UA"/>
              </w:rPr>
              <w:t xml:space="preserve">Відсутні </w:t>
            </w:r>
          </w:p>
          <w:p w:rsidR="006A1BB3" w:rsidRPr="00E21D71" w:rsidRDefault="006A1BB3" w:rsidP="0071475B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21D71">
        <w:rPr>
          <w:lang w:val="uk-UA"/>
        </w:rPr>
        <w:t>Обраний спосіб відповідає вимогам діючого законодавства.</w:t>
      </w:r>
    </w:p>
    <w:p w:rsidR="006A1BB3" w:rsidRPr="00E21D71" w:rsidRDefault="006A1BB3" w:rsidP="001648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21D71">
        <w:rPr>
          <w:lang w:val="uk-UA"/>
        </w:rPr>
        <w:t>Видання запропонованого регуляторного акта забезпечить досягнення встановлених цілей, починаючи з дня набрання ним чинності.</w:t>
      </w:r>
    </w:p>
    <w:p w:rsidR="006A1BB3" w:rsidRPr="00E21D71" w:rsidRDefault="006A1BB3" w:rsidP="001648EE">
      <w:pPr>
        <w:jc w:val="center"/>
        <w:rPr>
          <w:b/>
          <w:lang w:val="uk-UA" w:eastAsia="ru-RU"/>
        </w:rPr>
      </w:pPr>
    </w:p>
    <w:p w:rsidR="006A1BB3" w:rsidRPr="00E21D71" w:rsidRDefault="006A1BB3" w:rsidP="001648EE">
      <w:pPr>
        <w:jc w:val="center"/>
        <w:rPr>
          <w:rStyle w:val="a3"/>
          <w:bCs/>
          <w:shd w:val="clear" w:color="auto" w:fill="FFFFFF"/>
          <w:lang w:val="uk-UA"/>
        </w:rPr>
      </w:pPr>
      <w:r w:rsidRPr="00E21D71">
        <w:rPr>
          <w:rStyle w:val="a3"/>
          <w:bCs/>
          <w:shd w:val="clear" w:color="auto" w:fill="FFFFFF"/>
          <w:lang w:val="uk-UA"/>
        </w:rPr>
        <w:lastRenderedPageBreak/>
        <w:t xml:space="preserve">V. Механізми та заходи, які забезпечать розв’язання </w:t>
      </w:r>
    </w:p>
    <w:p w:rsidR="006A1BB3" w:rsidRPr="00E21D71" w:rsidRDefault="006A1BB3" w:rsidP="001648EE">
      <w:pPr>
        <w:jc w:val="center"/>
        <w:rPr>
          <w:b/>
          <w:lang w:val="uk-UA" w:eastAsia="ru-RU"/>
        </w:rPr>
      </w:pPr>
      <w:r w:rsidRPr="00E21D71">
        <w:rPr>
          <w:rStyle w:val="a3"/>
          <w:bCs/>
          <w:shd w:val="clear" w:color="auto" w:fill="FFFFFF"/>
          <w:lang w:val="uk-UA"/>
        </w:rPr>
        <w:t>визначеної проблеми</w:t>
      </w:r>
    </w:p>
    <w:p w:rsidR="006A1BB3" w:rsidRPr="00E21D71" w:rsidRDefault="006A1BB3" w:rsidP="001648EE">
      <w:pPr>
        <w:ind w:firstLine="709"/>
        <w:jc w:val="both"/>
        <w:rPr>
          <w:lang w:val="uk-UA"/>
        </w:rPr>
      </w:pPr>
      <w:r w:rsidRPr="00E21D71">
        <w:rPr>
          <w:lang w:val="uk-UA"/>
        </w:rPr>
        <w:t xml:space="preserve">Запропонованим проектом рішення визначаються орендні ставки за використання </w:t>
      </w:r>
      <w:r w:rsidR="002D543A">
        <w:rPr>
          <w:lang w:val="uk-UA"/>
        </w:rPr>
        <w:t>комунальним</w:t>
      </w:r>
      <w:r w:rsidRPr="00E21D71">
        <w:rPr>
          <w:lang w:val="uk-UA"/>
        </w:rPr>
        <w:t xml:space="preserve"> майн</w:t>
      </w:r>
      <w:r w:rsidR="002D543A">
        <w:rPr>
          <w:lang w:val="uk-UA"/>
        </w:rPr>
        <w:t>ом</w:t>
      </w:r>
      <w:r w:rsidRPr="00E21D71">
        <w:rPr>
          <w:lang w:val="uk-UA"/>
        </w:rPr>
        <w:t xml:space="preserve"> </w:t>
      </w:r>
      <w:r w:rsidR="002D543A">
        <w:rPr>
          <w:lang w:val="uk-UA"/>
        </w:rPr>
        <w:t>об’єднаної територіальної громади</w:t>
      </w:r>
      <w:r w:rsidRPr="00E21D71">
        <w:rPr>
          <w:lang w:val="uk-UA"/>
        </w:rPr>
        <w:t>. Порядок розподілу орендної плати, отриманої від оренди рухомого майна, механізм розрахунку розміру орендної плати за оренду майна не змінюється. Представлений проект регуляторного акту відповідає принципам державної регуляторної політики.</w:t>
      </w:r>
    </w:p>
    <w:p w:rsidR="006A1BB3" w:rsidRPr="00E21D71" w:rsidRDefault="006A1BB3" w:rsidP="00DB33AE">
      <w:pPr>
        <w:ind w:firstLine="709"/>
        <w:jc w:val="both"/>
        <w:rPr>
          <w:lang w:val="uk-UA"/>
        </w:rPr>
      </w:pPr>
      <w:r w:rsidRPr="00E21D71">
        <w:rPr>
          <w:lang w:val="uk-UA" w:eastAsia="ru-RU"/>
        </w:rPr>
        <w:t xml:space="preserve">Реалізація запропонованого регуляторного акта буде здійснюватись шляхом запровадження адміністративно-правових заходів, які зумовлять прийняття нормативного акта, який дасть можливість чітко врегулювати  питання, що стосуються оренди нерухомого комунального майна, шляхом </w:t>
      </w:r>
      <w:r w:rsidR="006C40AE" w:rsidRPr="00E21D71">
        <w:rPr>
          <w:lang w:val="uk-UA" w:eastAsia="ru-RU"/>
        </w:rPr>
        <w:t>прийняття запропонованого проекту рішення.</w:t>
      </w:r>
    </w:p>
    <w:p w:rsidR="006A1BB3" w:rsidRPr="00E21D71" w:rsidRDefault="006A1BB3" w:rsidP="001648EE">
      <w:pPr>
        <w:ind w:firstLine="709"/>
        <w:jc w:val="both"/>
        <w:rPr>
          <w:b/>
          <w:color w:val="000000"/>
          <w:lang w:val="uk-UA" w:eastAsia="ru-RU"/>
        </w:rPr>
      </w:pPr>
      <w:r w:rsidRPr="00E21D71">
        <w:rPr>
          <w:lang w:val="uk-UA"/>
        </w:rPr>
        <w:t xml:space="preserve">Для впровадження цього регуляторного акта необхідно: забезпечити інформування громадськості про встановлені ним положення шляхом його оприлюднення в мережі Інтернет на офіційному веб-сайті </w:t>
      </w:r>
      <w:r w:rsidR="006C40AE" w:rsidRPr="00E21D71">
        <w:rPr>
          <w:lang w:val="uk-UA"/>
        </w:rPr>
        <w:t>Тростянецької селищної ради</w:t>
      </w:r>
      <w:r w:rsidRPr="00E21D71">
        <w:rPr>
          <w:lang w:val="uk-UA"/>
        </w:rPr>
        <w:t xml:space="preserve">.  </w:t>
      </w:r>
    </w:p>
    <w:p w:rsidR="00E21D71" w:rsidRPr="00E21D71" w:rsidRDefault="00E21D71" w:rsidP="00E21D71">
      <w:pPr>
        <w:rPr>
          <w:lang w:val="uk-UA"/>
        </w:rPr>
      </w:pPr>
    </w:p>
    <w:p w:rsidR="00E21D71" w:rsidRPr="00E21D71" w:rsidRDefault="00E21D71" w:rsidP="00E21D71">
      <w:pPr>
        <w:jc w:val="center"/>
        <w:rPr>
          <w:b/>
          <w:lang w:val="uk-UA"/>
        </w:rPr>
      </w:pPr>
      <w:r w:rsidRPr="00E21D71">
        <w:rPr>
          <w:b/>
          <w:lang w:val="uk-UA"/>
        </w:rPr>
        <w:t>V</w:t>
      </w:r>
      <w:r w:rsidR="006B66D4">
        <w:rPr>
          <w:b/>
          <w:lang w:val="en-US"/>
        </w:rPr>
        <w:t>I</w:t>
      </w:r>
      <w:r w:rsidRPr="00E21D71">
        <w:rPr>
          <w:b/>
          <w:lang w:val="uk-UA"/>
        </w:rPr>
        <w:t xml:space="preserve">. Очікувані результати від прийняття регуляторного акта. </w:t>
      </w:r>
    </w:p>
    <w:p w:rsidR="00E21D71" w:rsidRPr="00E21D71" w:rsidRDefault="00E21D71" w:rsidP="00E21D71">
      <w:pPr>
        <w:jc w:val="center"/>
        <w:rPr>
          <w:b/>
          <w:lang w:val="uk-UA"/>
        </w:rPr>
      </w:pPr>
      <w:r w:rsidRPr="00E21D71">
        <w:rPr>
          <w:b/>
          <w:lang w:val="uk-UA"/>
        </w:rPr>
        <w:t>Аналіз вигод та витрат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Таблиця вигод та витрат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tbl>
      <w:tblPr>
        <w:tblpPr w:leftFromText="45" w:rightFromText="45" w:topFromText="300" w:bottomFromText="300" w:vertAnchor="text"/>
        <w:tblW w:w="9364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827"/>
        <w:gridCol w:w="3544"/>
      </w:tblGrid>
      <w:tr w:rsidR="00E21D71" w:rsidRPr="00E21D71" w:rsidTr="00E21D71">
        <w:tc>
          <w:tcPr>
            <w:tcW w:w="1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Сфера вигод</w:t>
            </w:r>
          </w:p>
        </w:tc>
        <w:tc>
          <w:tcPr>
            <w:tcW w:w="38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Вигоди</w:t>
            </w:r>
          </w:p>
        </w:tc>
        <w:tc>
          <w:tcPr>
            <w:tcW w:w="35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Витрати</w:t>
            </w:r>
          </w:p>
        </w:tc>
      </w:tr>
      <w:tr w:rsidR="00E21D71" w:rsidRPr="00E21D71" w:rsidTr="00E21D71">
        <w:trPr>
          <w:trHeight w:val="1710"/>
        </w:trPr>
        <w:tc>
          <w:tcPr>
            <w:tcW w:w="1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Місцева влада</w:t>
            </w:r>
          </w:p>
        </w:tc>
        <w:tc>
          <w:tcPr>
            <w:tcW w:w="38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збільшення надходжень до селищного бюджету 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соціально-економічний розвиток територій громади;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відновлення комунального майна та покращення зовнішнього вигляду населених пунктів;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зниження соціальної напруги.</w:t>
            </w:r>
          </w:p>
        </w:tc>
        <w:tc>
          <w:tcPr>
            <w:tcW w:w="35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витрати на організацію процесу надання комунального майна в оренду.</w:t>
            </w:r>
          </w:p>
        </w:tc>
      </w:tr>
      <w:tr w:rsidR="00E21D71" w:rsidRPr="00E21D71" w:rsidTr="00E21D71">
        <w:tc>
          <w:tcPr>
            <w:tcW w:w="1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Суб’єкти господарювання</w:t>
            </w:r>
          </w:p>
        </w:tc>
        <w:tc>
          <w:tcPr>
            <w:tcW w:w="38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отримання в оренду об’єктів на конкурсних засадах;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врахування інтересів попереднього орендаря при переукладанні договорів або продовженні оренди;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можливість ефективно використовувати орендоване майно</w:t>
            </w:r>
          </w:p>
        </w:tc>
        <w:tc>
          <w:tcPr>
            <w:tcW w:w="35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виконанням взятих на себе зобов’язань щодо відновлення комунального майна міста;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- сплата орендної плати.</w:t>
            </w:r>
          </w:p>
        </w:tc>
      </w:tr>
      <w:tr w:rsidR="00E21D71" w:rsidRPr="00E21D71" w:rsidTr="00E21D71">
        <w:tc>
          <w:tcPr>
            <w:tcW w:w="1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jc w:val="both"/>
              <w:rPr>
                <w:lang w:val="uk-UA"/>
              </w:rPr>
            </w:pPr>
            <w:r w:rsidRPr="00E21D71">
              <w:rPr>
                <w:lang w:val="uk-UA"/>
              </w:rPr>
              <w:t>Населення</w:t>
            </w:r>
          </w:p>
        </w:tc>
        <w:tc>
          <w:tcPr>
            <w:tcW w:w="38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Прозорість процесу передачі в оренду об’єктів комунальної власності територіальних громад;</w:t>
            </w:r>
          </w:p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підвищення ефективності використання спільного майна орендарями в розрізі підтримки його в належному санітарно-технічному стані, своєчасного ремонту та поліпшенні косметичного вигляду;</w:t>
            </w:r>
          </w:p>
        </w:tc>
        <w:tc>
          <w:tcPr>
            <w:tcW w:w="354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21D71" w:rsidRPr="00E21D71" w:rsidRDefault="00E21D71" w:rsidP="00E21D71">
            <w:pPr>
              <w:rPr>
                <w:lang w:val="uk-UA"/>
              </w:rPr>
            </w:pPr>
            <w:r w:rsidRPr="00E21D71">
              <w:rPr>
                <w:lang w:val="uk-UA"/>
              </w:rPr>
              <w:t>Витрати відсутні</w:t>
            </w:r>
          </w:p>
        </w:tc>
      </w:tr>
    </w:tbl>
    <w:p w:rsidR="00E21D71" w:rsidRPr="00E21D71" w:rsidRDefault="00E21D71" w:rsidP="00E21D71">
      <w:pPr>
        <w:ind w:firstLine="708"/>
        <w:jc w:val="both"/>
        <w:rPr>
          <w:lang w:val="uk-UA"/>
        </w:rPr>
      </w:pPr>
    </w:p>
    <w:p w:rsidR="00E21D71" w:rsidRPr="00E21D71" w:rsidRDefault="00E21D71" w:rsidP="00E21D71">
      <w:pPr>
        <w:ind w:firstLine="708"/>
        <w:jc w:val="both"/>
        <w:rPr>
          <w:lang w:val="uk-UA"/>
        </w:rPr>
      </w:pPr>
      <w:r w:rsidRPr="00E21D71">
        <w:rPr>
          <w:lang w:val="uk-UA"/>
        </w:rPr>
        <w:t>Впровадження та виконання вимог запропонованого проекту регуляторного акта відповідає тим ресурсам, якими розпоряджається орган місцевого самоврядування, а також ресурсам суб’єктів господарювання, на яких розповсюджується дія запропонованого проекту регуляторного акта.</w:t>
      </w:r>
    </w:p>
    <w:p w:rsidR="00E21D71" w:rsidRPr="00E21D71" w:rsidRDefault="00E21D71" w:rsidP="00E21D71">
      <w:pPr>
        <w:ind w:firstLine="708"/>
        <w:jc w:val="both"/>
        <w:rPr>
          <w:lang w:val="uk-UA"/>
        </w:rPr>
      </w:pPr>
      <w:r w:rsidRPr="00E21D71">
        <w:rPr>
          <w:lang w:val="uk-UA"/>
        </w:rPr>
        <w:t xml:space="preserve">Даний проект рішення </w:t>
      </w:r>
      <w:r w:rsidR="002D543A">
        <w:rPr>
          <w:lang w:val="uk-UA"/>
        </w:rPr>
        <w:t>селищної</w:t>
      </w:r>
      <w:r w:rsidRPr="00E21D71">
        <w:rPr>
          <w:lang w:val="uk-UA"/>
        </w:rPr>
        <w:t xml:space="preserve"> ради, дасть можливість залучити суб’єктів бізнесу, які мають значні фінансово-економічні ресурси до вирішення соціально-економічних потреб </w:t>
      </w:r>
      <w:r w:rsidR="002D543A">
        <w:rPr>
          <w:lang w:val="uk-UA"/>
        </w:rPr>
        <w:t>громади</w:t>
      </w:r>
      <w:r w:rsidRPr="00E21D71">
        <w:rPr>
          <w:lang w:val="uk-UA"/>
        </w:rPr>
        <w:t xml:space="preserve"> в той же час врахувати інтереси суб’єктів господарської діяльності, що </w:t>
      </w:r>
      <w:r w:rsidRPr="00E21D71">
        <w:rPr>
          <w:lang w:val="uk-UA"/>
        </w:rPr>
        <w:lastRenderedPageBreak/>
        <w:t xml:space="preserve">мають значне соціальне та економічне значення </w:t>
      </w:r>
      <w:r>
        <w:rPr>
          <w:lang w:val="uk-UA"/>
        </w:rPr>
        <w:t>об’єднаної територіальної громади</w:t>
      </w:r>
      <w:r w:rsidRPr="00E21D71">
        <w:rPr>
          <w:lang w:val="uk-UA"/>
        </w:rPr>
        <w:t xml:space="preserve"> при наданні в оренду комунального майна.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E21D71" w:rsidRDefault="00E21D71" w:rsidP="00E21D71">
      <w:pPr>
        <w:jc w:val="center"/>
        <w:rPr>
          <w:b/>
          <w:lang w:val="uk-UA"/>
        </w:rPr>
      </w:pPr>
      <w:r w:rsidRPr="00E21D71">
        <w:rPr>
          <w:b/>
          <w:lang w:val="en-US"/>
        </w:rPr>
        <w:t>VII</w:t>
      </w:r>
      <w:r w:rsidRPr="00E21D71">
        <w:rPr>
          <w:b/>
          <w:lang w:val="uk-UA"/>
        </w:rPr>
        <w:t>. Обґрунтування строку дії регуляторного акта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Строк дії регуляторного акта необмежений. У разі зміни чинного законодавства або з інших причин, в регуляторний акт будуть вноситись зміни та доповнення.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6B66D4" w:rsidRDefault="006B66D4" w:rsidP="006B66D4">
      <w:pPr>
        <w:jc w:val="center"/>
        <w:rPr>
          <w:b/>
          <w:lang w:val="uk-UA"/>
        </w:rPr>
      </w:pPr>
      <w:r w:rsidRPr="006B66D4">
        <w:rPr>
          <w:b/>
          <w:lang w:val="en-US"/>
        </w:rPr>
        <w:t>VIII</w:t>
      </w:r>
      <w:r w:rsidRPr="006B66D4">
        <w:rPr>
          <w:b/>
        </w:rPr>
        <w:t xml:space="preserve">. </w:t>
      </w:r>
      <w:r w:rsidR="00E21D71" w:rsidRPr="006B66D4">
        <w:rPr>
          <w:b/>
          <w:lang w:val="uk-UA"/>
        </w:rPr>
        <w:t>Показники результативності регуляторного акта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 xml:space="preserve">Результативність регуляторного акта буде здійснюватися на основі моніторингу, який буде проводитись розробником та іншими відповідними структурними підрозділами </w:t>
      </w:r>
      <w:r w:rsidR="006B66D4">
        <w:rPr>
          <w:lang w:val="uk-UA"/>
        </w:rPr>
        <w:t>селищної ради</w:t>
      </w:r>
      <w:r w:rsidRPr="00E21D71">
        <w:rPr>
          <w:lang w:val="uk-UA"/>
        </w:rPr>
        <w:t xml:space="preserve"> за такими показниками:</w:t>
      </w:r>
    </w:p>
    <w:p w:rsidR="00E21D71" w:rsidRPr="00E21D71" w:rsidRDefault="00E21D71" w:rsidP="006B66D4">
      <w:pPr>
        <w:numPr>
          <w:ilvl w:val="0"/>
          <w:numId w:val="9"/>
        </w:numPr>
        <w:jc w:val="both"/>
        <w:rPr>
          <w:lang w:val="uk-UA"/>
        </w:rPr>
      </w:pPr>
      <w:r w:rsidRPr="00E21D71">
        <w:rPr>
          <w:lang w:val="uk-UA"/>
        </w:rPr>
        <w:t>кількість суб’єктів господарської діяльності з якими укладено (переукладено) договори про передачу в оренду майна комунальної власності</w:t>
      </w:r>
      <w:bookmarkStart w:id="0" w:name="_GoBack"/>
      <w:bookmarkEnd w:id="0"/>
      <w:r w:rsidRPr="00E21D71">
        <w:rPr>
          <w:lang w:val="uk-UA"/>
        </w:rPr>
        <w:t>;</w:t>
      </w:r>
    </w:p>
    <w:p w:rsidR="00E21D71" w:rsidRPr="00E21D71" w:rsidRDefault="00E21D71" w:rsidP="006B66D4">
      <w:pPr>
        <w:numPr>
          <w:ilvl w:val="0"/>
          <w:numId w:val="9"/>
        </w:numPr>
        <w:jc w:val="both"/>
        <w:rPr>
          <w:lang w:val="uk-UA"/>
        </w:rPr>
      </w:pPr>
      <w:r w:rsidRPr="00E21D71">
        <w:rPr>
          <w:lang w:val="uk-UA"/>
        </w:rPr>
        <w:t>загальна площа приміщень комунальної власності, переданих в оренду;</w:t>
      </w:r>
    </w:p>
    <w:p w:rsidR="00E21D71" w:rsidRPr="00E21D71" w:rsidRDefault="00E21D71" w:rsidP="006B66D4">
      <w:pPr>
        <w:numPr>
          <w:ilvl w:val="0"/>
          <w:numId w:val="9"/>
        </w:numPr>
        <w:jc w:val="both"/>
        <w:rPr>
          <w:lang w:val="uk-UA"/>
        </w:rPr>
      </w:pPr>
      <w:r w:rsidRPr="00E21D71">
        <w:rPr>
          <w:lang w:val="uk-UA"/>
        </w:rPr>
        <w:t>надходження від оренди до  </w:t>
      </w:r>
      <w:r w:rsidR="006B66D4">
        <w:rPr>
          <w:lang w:val="uk-UA"/>
        </w:rPr>
        <w:t xml:space="preserve">селищного </w:t>
      </w:r>
      <w:r w:rsidRPr="00E21D71">
        <w:rPr>
          <w:lang w:val="uk-UA"/>
        </w:rPr>
        <w:t>бюджету;</w:t>
      </w:r>
    </w:p>
    <w:p w:rsidR="00E21D71" w:rsidRPr="00E21D71" w:rsidRDefault="00E21D71" w:rsidP="006B66D4">
      <w:pPr>
        <w:numPr>
          <w:ilvl w:val="0"/>
          <w:numId w:val="9"/>
        </w:numPr>
        <w:jc w:val="both"/>
        <w:rPr>
          <w:lang w:val="uk-UA"/>
        </w:rPr>
      </w:pPr>
      <w:r w:rsidRPr="00E21D71">
        <w:rPr>
          <w:lang w:val="uk-UA"/>
        </w:rPr>
        <w:t>кількість суб’єктів господарської діяльності, що працюють за пріоритетними напрямами соціально-економічного розвитку;</w:t>
      </w:r>
    </w:p>
    <w:p w:rsidR="00E21D71" w:rsidRPr="00E21D71" w:rsidRDefault="00E21D71" w:rsidP="006B66D4">
      <w:pPr>
        <w:numPr>
          <w:ilvl w:val="0"/>
          <w:numId w:val="9"/>
        </w:numPr>
        <w:jc w:val="both"/>
        <w:rPr>
          <w:lang w:val="uk-UA"/>
        </w:rPr>
      </w:pPr>
      <w:r w:rsidRPr="00E21D71">
        <w:rPr>
          <w:lang w:val="uk-UA"/>
        </w:rPr>
        <w:t>модернізація і відновлення комунального майна;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6B66D4" w:rsidRDefault="006B66D4" w:rsidP="006B66D4">
      <w:pPr>
        <w:jc w:val="center"/>
        <w:rPr>
          <w:b/>
          <w:lang w:val="uk-UA"/>
        </w:rPr>
      </w:pPr>
      <w:r w:rsidRPr="006B66D4">
        <w:rPr>
          <w:b/>
          <w:lang w:val="en-US"/>
        </w:rPr>
        <w:t>XI</w:t>
      </w:r>
      <w:r w:rsidRPr="006B66D4">
        <w:rPr>
          <w:b/>
        </w:rPr>
        <w:t xml:space="preserve">. </w:t>
      </w:r>
      <w:r w:rsidR="00E21D71" w:rsidRPr="006B66D4">
        <w:rPr>
          <w:b/>
          <w:lang w:val="uk-UA"/>
        </w:rPr>
        <w:t>Заходи, за допомогою яких буде здійснюватися відстеження результативності регуляторного акта</w:t>
      </w:r>
    </w:p>
    <w:p w:rsidR="00E21D71" w:rsidRPr="00E21D71" w:rsidRDefault="00E21D71" w:rsidP="00E21D71">
      <w:pPr>
        <w:jc w:val="both"/>
        <w:rPr>
          <w:lang w:val="uk-UA"/>
        </w:rPr>
      </w:pPr>
      <w:r w:rsidRPr="00E21D71">
        <w:rPr>
          <w:lang w:val="uk-UA"/>
        </w:rPr>
        <w:t> </w:t>
      </w: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>Відстеження результативності регуляторного акта проводиться на основі статистичних даних.</w:t>
      </w: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>Базове відстеження результативності регуляторного акта здійснюється до набрання його чинності.</w:t>
      </w: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>Повторне відстеження буде здійснюватися через рік після набрання ним чинності. У разі виявлення неврегульованих та проблемних моментів шляхом аналізу якісних та кількісних показників дії цього акта, ці моменти буде виправлено шляхом внесення відповідних змін.</w:t>
      </w: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>Періодичні відстеження результативності будуть здійснюватись раз на кожні три роки, починаючи від дня закінчення заходів з повторного відстеження результативності.</w:t>
      </w:r>
    </w:p>
    <w:p w:rsidR="006B66D4" w:rsidRDefault="006B66D4" w:rsidP="00E21D71">
      <w:pPr>
        <w:jc w:val="both"/>
        <w:rPr>
          <w:lang w:val="uk-UA"/>
        </w:rPr>
      </w:pPr>
    </w:p>
    <w:p w:rsidR="00E21D71" w:rsidRPr="00E21D71" w:rsidRDefault="00E21D71" w:rsidP="006B66D4">
      <w:pPr>
        <w:ind w:firstLine="708"/>
        <w:jc w:val="both"/>
        <w:rPr>
          <w:lang w:val="uk-UA"/>
        </w:rPr>
      </w:pPr>
      <w:r w:rsidRPr="00E21D71">
        <w:rPr>
          <w:lang w:val="uk-UA"/>
        </w:rPr>
        <w:t>Зауваження та пропозиції від фізичних та юридичних осіб до цього проекту рішення можна надсилати  на  адресу:</w:t>
      </w:r>
      <w:r w:rsidR="006B66D4">
        <w:rPr>
          <w:lang w:val="uk-UA"/>
        </w:rPr>
        <w:t xml:space="preserve"> </w:t>
      </w:r>
      <w:r w:rsidRPr="00E21D71">
        <w:rPr>
          <w:lang w:val="uk-UA"/>
        </w:rPr>
        <w:t>2</w:t>
      </w:r>
      <w:r w:rsidR="006B66D4">
        <w:rPr>
          <w:lang w:val="uk-UA"/>
        </w:rPr>
        <w:t xml:space="preserve">4300, вул. Соборна, 77, </w:t>
      </w:r>
      <w:proofErr w:type="spellStart"/>
      <w:r w:rsidR="006B66D4">
        <w:rPr>
          <w:lang w:val="uk-UA"/>
        </w:rPr>
        <w:t>смт</w:t>
      </w:r>
      <w:proofErr w:type="spellEnd"/>
      <w:r w:rsidR="006B66D4">
        <w:rPr>
          <w:lang w:val="uk-UA"/>
        </w:rPr>
        <w:t xml:space="preserve"> Тростянець, </w:t>
      </w:r>
      <w:r w:rsidRPr="00E21D71">
        <w:rPr>
          <w:lang w:val="uk-UA"/>
        </w:rPr>
        <w:t xml:space="preserve"> </w:t>
      </w:r>
      <w:r w:rsidR="006B66D4">
        <w:rPr>
          <w:lang w:val="uk-UA"/>
        </w:rPr>
        <w:t>Вінницька область.</w:t>
      </w:r>
    </w:p>
    <w:p w:rsidR="006A1BB3" w:rsidRPr="00E21D71" w:rsidRDefault="006A1BB3" w:rsidP="00E21D71">
      <w:pPr>
        <w:jc w:val="both"/>
        <w:rPr>
          <w:sz w:val="28"/>
          <w:szCs w:val="28"/>
          <w:lang w:val="uk-UA"/>
        </w:rPr>
      </w:pPr>
    </w:p>
    <w:sectPr w:rsidR="006A1BB3" w:rsidRPr="00E21D71" w:rsidSect="00083D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733"/>
    <w:multiLevelType w:val="hybridMultilevel"/>
    <w:tmpl w:val="81726264"/>
    <w:lvl w:ilvl="0" w:tplc="58A8B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D36"/>
    <w:multiLevelType w:val="hybridMultilevel"/>
    <w:tmpl w:val="73727B52"/>
    <w:lvl w:ilvl="0" w:tplc="0E10EC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547E"/>
    <w:multiLevelType w:val="multilevel"/>
    <w:tmpl w:val="1AB0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1A029A"/>
    <w:multiLevelType w:val="hybridMultilevel"/>
    <w:tmpl w:val="DC264C3C"/>
    <w:lvl w:ilvl="0" w:tplc="0632246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BEA38B5"/>
    <w:multiLevelType w:val="hybridMultilevel"/>
    <w:tmpl w:val="C6B4A0A0"/>
    <w:lvl w:ilvl="0" w:tplc="1D6C03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8F0"/>
    <w:multiLevelType w:val="hybridMultilevel"/>
    <w:tmpl w:val="A31C0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64D84"/>
    <w:multiLevelType w:val="hybridMultilevel"/>
    <w:tmpl w:val="1DA6E64A"/>
    <w:lvl w:ilvl="0" w:tplc="C618158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943608D"/>
    <w:multiLevelType w:val="hybridMultilevel"/>
    <w:tmpl w:val="43E8A0F6"/>
    <w:lvl w:ilvl="0" w:tplc="ED5CA6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0638F"/>
    <w:multiLevelType w:val="multilevel"/>
    <w:tmpl w:val="558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6"/>
    <w:rsid w:val="00003EE9"/>
    <w:rsid w:val="00030220"/>
    <w:rsid w:val="00050947"/>
    <w:rsid w:val="000634AB"/>
    <w:rsid w:val="00063DAE"/>
    <w:rsid w:val="00083DC3"/>
    <w:rsid w:val="000926CC"/>
    <w:rsid w:val="000A07A1"/>
    <w:rsid w:val="000C6979"/>
    <w:rsid w:val="000E669F"/>
    <w:rsid w:val="000F0A2F"/>
    <w:rsid w:val="000F1350"/>
    <w:rsid w:val="000F5D40"/>
    <w:rsid w:val="0010116D"/>
    <w:rsid w:val="00104D61"/>
    <w:rsid w:val="001113D5"/>
    <w:rsid w:val="00120ADC"/>
    <w:rsid w:val="00141F81"/>
    <w:rsid w:val="001648EE"/>
    <w:rsid w:val="00166264"/>
    <w:rsid w:val="001673F2"/>
    <w:rsid w:val="001B3FA6"/>
    <w:rsid w:val="001C6854"/>
    <w:rsid w:val="001E0E60"/>
    <w:rsid w:val="00262CDA"/>
    <w:rsid w:val="0027064B"/>
    <w:rsid w:val="002838E2"/>
    <w:rsid w:val="002A1959"/>
    <w:rsid w:val="002A376B"/>
    <w:rsid w:val="002D543A"/>
    <w:rsid w:val="002F6BE4"/>
    <w:rsid w:val="0030555B"/>
    <w:rsid w:val="00316EB2"/>
    <w:rsid w:val="003219E9"/>
    <w:rsid w:val="00347BA0"/>
    <w:rsid w:val="00360DC6"/>
    <w:rsid w:val="00365627"/>
    <w:rsid w:val="003672E4"/>
    <w:rsid w:val="003954F8"/>
    <w:rsid w:val="003B0980"/>
    <w:rsid w:val="003B15F7"/>
    <w:rsid w:val="003C025C"/>
    <w:rsid w:val="003C26BF"/>
    <w:rsid w:val="003C503C"/>
    <w:rsid w:val="003F10EA"/>
    <w:rsid w:val="003F12A4"/>
    <w:rsid w:val="003F44CD"/>
    <w:rsid w:val="00434F34"/>
    <w:rsid w:val="00450FB1"/>
    <w:rsid w:val="00472CF5"/>
    <w:rsid w:val="00480243"/>
    <w:rsid w:val="00481958"/>
    <w:rsid w:val="00487A09"/>
    <w:rsid w:val="00492A0F"/>
    <w:rsid w:val="00495DE9"/>
    <w:rsid w:val="004A7D68"/>
    <w:rsid w:val="004C0BB0"/>
    <w:rsid w:val="004E2FCA"/>
    <w:rsid w:val="00537B30"/>
    <w:rsid w:val="005B0850"/>
    <w:rsid w:val="005E5E5D"/>
    <w:rsid w:val="005F361D"/>
    <w:rsid w:val="00602F74"/>
    <w:rsid w:val="0061697E"/>
    <w:rsid w:val="00672451"/>
    <w:rsid w:val="00686195"/>
    <w:rsid w:val="0069583D"/>
    <w:rsid w:val="006A1BB3"/>
    <w:rsid w:val="006A479C"/>
    <w:rsid w:val="006B66D4"/>
    <w:rsid w:val="006C40AE"/>
    <w:rsid w:val="00710BDD"/>
    <w:rsid w:val="0071475B"/>
    <w:rsid w:val="00772EEF"/>
    <w:rsid w:val="00773638"/>
    <w:rsid w:val="0077611C"/>
    <w:rsid w:val="00782DE4"/>
    <w:rsid w:val="00794D86"/>
    <w:rsid w:val="007A608F"/>
    <w:rsid w:val="007B7668"/>
    <w:rsid w:val="007C7068"/>
    <w:rsid w:val="007F3828"/>
    <w:rsid w:val="007F58D5"/>
    <w:rsid w:val="008437FC"/>
    <w:rsid w:val="00846737"/>
    <w:rsid w:val="00847832"/>
    <w:rsid w:val="008734BF"/>
    <w:rsid w:val="008B474E"/>
    <w:rsid w:val="008B477D"/>
    <w:rsid w:val="008D7154"/>
    <w:rsid w:val="008E5BF9"/>
    <w:rsid w:val="008F4A69"/>
    <w:rsid w:val="0090519B"/>
    <w:rsid w:val="009151D3"/>
    <w:rsid w:val="00926716"/>
    <w:rsid w:val="009471A3"/>
    <w:rsid w:val="009800CF"/>
    <w:rsid w:val="00994806"/>
    <w:rsid w:val="009D22B1"/>
    <w:rsid w:val="00A02476"/>
    <w:rsid w:val="00A47897"/>
    <w:rsid w:val="00A5724F"/>
    <w:rsid w:val="00AD6626"/>
    <w:rsid w:val="00AF2344"/>
    <w:rsid w:val="00AF2831"/>
    <w:rsid w:val="00B12758"/>
    <w:rsid w:val="00B55C74"/>
    <w:rsid w:val="00B60C3F"/>
    <w:rsid w:val="00B66145"/>
    <w:rsid w:val="00B77A66"/>
    <w:rsid w:val="00B930BD"/>
    <w:rsid w:val="00BB6C85"/>
    <w:rsid w:val="00BC272A"/>
    <w:rsid w:val="00BC2754"/>
    <w:rsid w:val="00BE1B2B"/>
    <w:rsid w:val="00BE78EA"/>
    <w:rsid w:val="00BF210C"/>
    <w:rsid w:val="00BF6C68"/>
    <w:rsid w:val="00C2436F"/>
    <w:rsid w:val="00C370A6"/>
    <w:rsid w:val="00C42101"/>
    <w:rsid w:val="00CF47FE"/>
    <w:rsid w:val="00D25F8B"/>
    <w:rsid w:val="00D83FE2"/>
    <w:rsid w:val="00DA1019"/>
    <w:rsid w:val="00DB33AE"/>
    <w:rsid w:val="00DB3796"/>
    <w:rsid w:val="00DC595D"/>
    <w:rsid w:val="00DC6E77"/>
    <w:rsid w:val="00DF37C5"/>
    <w:rsid w:val="00DF53CE"/>
    <w:rsid w:val="00DF7D58"/>
    <w:rsid w:val="00E21D71"/>
    <w:rsid w:val="00E34FE6"/>
    <w:rsid w:val="00E36336"/>
    <w:rsid w:val="00E74E01"/>
    <w:rsid w:val="00E877DF"/>
    <w:rsid w:val="00EA5CC7"/>
    <w:rsid w:val="00EC4BBE"/>
    <w:rsid w:val="00EC6A08"/>
    <w:rsid w:val="00ED43EA"/>
    <w:rsid w:val="00EE0F24"/>
    <w:rsid w:val="00F27755"/>
    <w:rsid w:val="00F34149"/>
    <w:rsid w:val="00F50D5E"/>
    <w:rsid w:val="00F64D23"/>
    <w:rsid w:val="00F67FE8"/>
    <w:rsid w:val="00F96AC1"/>
    <w:rsid w:val="00FA7A44"/>
    <w:rsid w:val="00FB7DC6"/>
    <w:rsid w:val="00FC373F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26CC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rsid w:val="00492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92A0F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4C0B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"/>
    <w:basedOn w:val="a"/>
    <w:uiPriority w:val="99"/>
    <w:rsid w:val="001648EE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99"/>
    <w:qFormat/>
    <w:rsid w:val="003B15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5">
    <w:name w:val="p5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uiPriority w:val="99"/>
    <w:rsid w:val="00F50D5E"/>
    <w:rPr>
      <w:rFonts w:cs="Times New Roman"/>
    </w:rPr>
  </w:style>
  <w:style w:type="paragraph" w:customStyle="1" w:styleId="p8">
    <w:name w:val="p8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26CC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rsid w:val="00492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92A0F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4C0B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"/>
    <w:basedOn w:val="a"/>
    <w:uiPriority w:val="99"/>
    <w:rsid w:val="001648EE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99"/>
    <w:qFormat/>
    <w:rsid w:val="003B15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5">
    <w:name w:val="p5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uiPriority w:val="99"/>
    <w:rsid w:val="00F50D5E"/>
    <w:rPr>
      <w:rFonts w:cs="Times New Roman"/>
    </w:rPr>
  </w:style>
  <w:style w:type="paragraph" w:customStyle="1" w:styleId="p8">
    <w:name w:val="p8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uiPriority w:val="99"/>
    <w:rsid w:val="00F50D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C3D-837C-4358-BF64-0AC66617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2023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</cp:lastModifiedBy>
  <cp:revision>3</cp:revision>
  <cp:lastPrinted>2017-06-20T10:51:00Z</cp:lastPrinted>
  <dcterms:created xsi:type="dcterms:W3CDTF">2019-02-28T11:12:00Z</dcterms:created>
  <dcterms:modified xsi:type="dcterms:W3CDTF">2019-02-28T11:14:00Z</dcterms:modified>
</cp:coreProperties>
</file>