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  <w:bookmarkStart w:id="0" w:name="_GoBack"/>
      <w:r w:rsidRPr="0020789E">
        <w:rPr>
          <w:b/>
          <w:bCs/>
          <w:color w:val="000000"/>
          <w:lang w:val="uk-UA"/>
        </w:rPr>
        <w:t xml:space="preserve">РОЗДІЛ II. ДЕПУТАТИ, ПОСАДОВІ ОСОБИ Й ОРГАНИ </w:t>
      </w:r>
      <w:r>
        <w:rPr>
          <w:b/>
          <w:bCs/>
          <w:color w:val="000000"/>
          <w:lang w:val="uk-UA"/>
        </w:rPr>
        <w:t>РАДИ</w:t>
      </w:r>
    </w:p>
    <w:bookmarkEnd w:id="0"/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>ІІ.1. Депутати</w:t>
      </w: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HTML"/>
        <w:tabs>
          <w:tab w:val="left" w:pos="-70"/>
          <w:tab w:val="left" w:pos="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 xml:space="preserve">Стаття 7. Правові засади діяльності депутатів </w:t>
      </w:r>
      <w:r>
        <w:rPr>
          <w:rFonts w:ascii="Times New Roman" w:hAnsi="Times New Roman"/>
          <w:b/>
          <w:bCs/>
          <w:sz w:val="24"/>
          <w:szCs w:val="24"/>
        </w:rPr>
        <w:t>Ради</w:t>
      </w:r>
    </w:p>
    <w:p w:rsidR="00DB5482" w:rsidRPr="0020789E" w:rsidRDefault="00DB5482" w:rsidP="00DB5482">
      <w:pPr>
        <w:pStyle w:val="HTML"/>
        <w:numPr>
          <w:ilvl w:val="0"/>
          <w:numId w:val="1"/>
        </w:numPr>
        <w:tabs>
          <w:tab w:val="clear" w:pos="916"/>
          <w:tab w:val="left" w:pos="-142"/>
          <w:tab w:val="left" w:pos="-70"/>
          <w:tab w:val="left" w:pos="993"/>
          <w:tab w:val="left" w:pos="126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Порядок діяльності депутата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,  його права, обов'язки та  повноваження регламентуються Конституцією України, Законом України «Про місцеве самоврядування в Україні», Законом України «Про статус депутатів місцевих рад», «Про службу в органах місцевого самоврядування», «Про запобігання корупції», «Про доступ до публічної інформації», іншими законами України та цим Регламентом.</w:t>
      </w:r>
    </w:p>
    <w:p w:rsidR="00DB5482" w:rsidRPr="0020789E" w:rsidRDefault="00DB5482" w:rsidP="00DB5482">
      <w:pPr>
        <w:pStyle w:val="HTML"/>
        <w:numPr>
          <w:ilvl w:val="0"/>
          <w:numId w:val="1"/>
        </w:numPr>
        <w:tabs>
          <w:tab w:val="clear" w:pos="916"/>
          <w:tab w:val="left" w:pos="-142"/>
          <w:tab w:val="left" w:pos="-70"/>
          <w:tab w:val="left" w:pos="993"/>
          <w:tab w:val="left" w:pos="126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набуває своїх повноважень внаслідок обрання його до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на основі загального, рівного і прямого виборчого права при таємному голосуванні на відповідних місцевих виборах.</w:t>
      </w:r>
    </w:p>
    <w:p w:rsidR="00DB5482" w:rsidRPr="0020789E" w:rsidRDefault="00DB5482" w:rsidP="00DB5482">
      <w:pPr>
        <w:pStyle w:val="HTML"/>
        <w:numPr>
          <w:ilvl w:val="0"/>
          <w:numId w:val="1"/>
        </w:numPr>
        <w:tabs>
          <w:tab w:val="clear" w:pos="916"/>
          <w:tab w:val="left" w:pos="-142"/>
          <w:tab w:val="left" w:pos="-70"/>
          <w:tab w:val="left" w:pos="993"/>
          <w:tab w:val="left" w:pos="126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bCs/>
          <w:iCs/>
          <w:sz w:val="24"/>
          <w:szCs w:val="24"/>
        </w:rPr>
        <w:t xml:space="preserve">Повноваження депутата </w:t>
      </w:r>
      <w:r>
        <w:rPr>
          <w:rFonts w:ascii="Times New Roman" w:hAnsi="Times New Roman"/>
          <w:bCs/>
          <w:iCs/>
          <w:sz w:val="24"/>
          <w:szCs w:val="24"/>
        </w:rPr>
        <w:t>Ради</w:t>
      </w:r>
      <w:r w:rsidRPr="0020789E">
        <w:rPr>
          <w:rFonts w:ascii="Times New Roman" w:hAnsi="Times New Roman"/>
          <w:bCs/>
          <w:iCs/>
          <w:sz w:val="24"/>
          <w:szCs w:val="24"/>
        </w:rPr>
        <w:t xml:space="preserve"> починаються з моменту офіційного оголошення підсумків виборів відповідною територіальною виборчою комісією в день відкриття першої сесії </w:t>
      </w:r>
      <w:r>
        <w:rPr>
          <w:rFonts w:ascii="Times New Roman" w:hAnsi="Times New Roman"/>
          <w:bCs/>
          <w:iCs/>
          <w:sz w:val="24"/>
          <w:szCs w:val="24"/>
        </w:rPr>
        <w:t>Ради</w:t>
      </w:r>
      <w:r w:rsidRPr="0020789E">
        <w:rPr>
          <w:rFonts w:ascii="Times New Roman" w:hAnsi="Times New Roman"/>
          <w:bCs/>
          <w:iCs/>
          <w:sz w:val="24"/>
          <w:szCs w:val="24"/>
        </w:rPr>
        <w:t xml:space="preserve"> і закінчуються в день відкриття першої сесії цієї </w:t>
      </w:r>
      <w:r>
        <w:rPr>
          <w:rFonts w:ascii="Times New Roman" w:hAnsi="Times New Roman"/>
          <w:bCs/>
          <w:iCs/>
          <w:sz w:val="24"/>
          <w:szCs w:val="24"/>
        </w:rPr>
        <w:t>Ради</w:t>
      </w:r>
      <w:r w:rsidRPr="0020789E">
        <w:rPr>
          <w:rFonts w:ascii="Times New Roman" w:hAnsi="Times New Roman"/>
          <w:bCs/>
          <w:iCs/>
          <w:sz w:val="24"/>
          <w:szCs w:val="24"/>
        </w:rPr>
        <w:t xml:space="preserve"> нового скликання, крім передбачених законом випадків дострокового припинення повноважень депутата </w:t>
      </w:r>
      <w:r>
        <w:rPr>
          <w:rFonts w:ascii="Times New Roman" w:hAnsi="Times New Roman"/>
          <w:bCs/>
          <w:iCs/>
          <w:sz w:val="24"/>
          <w:szCs w:val="24"/>
        </w:rPr>
        <w:t>Ради</w:t>
      </w:r>
      <w:r w:rsidRPr="0020789E">
        <w:rPr>
          <w:rFonts w:ascii="Times New Roman" w:hAnsi="Times New Roman"/>
          <w:bCs/>
          <w:iCs/>
          <w:sz w:val="24"/>
          <w:szCs w:val="24"/>
        </w:rPr>
        <w:t>.</w:t>
      </w:r>
    </w:p>
    <w:p w:rsidR="00DB5482" w:rsidRPr="0020789E" w:rsidRDefault="00DB5482" w:rsidP="00DB5482">
      <w:pPr>
        <w:pStyle w:val="HTML"/>
        <w:numPr>
          <w:ilvl w:val="0"/>
          <w:numId w:val="1"/>
        </w:numPr>
        <w:tabs>
          <w:tab w:val="clear" w:pos="916"/>
          <w:tab w:val="left" w:pos="-142"/>
          <w:tab w:val="left" w:pos="-70"/>
          <w:tab w:val="left" w:pos="993"/>
          <w:tab w:val="left" w:pos="126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є повноважним і рівноправним членом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як представницького органу місцевого самоврядування. </w:t>
      </w:r>
    </w:p>
    <w:p w:rsidR="00DB5482" w:rsidRPr="0020789E" w:rsidRDefault="00DB5482" w:rsidP="00DB5482">
      <w:pPr>
        <w:pStyle w:val="HTML"/>
        <w:numPr>
          <w:ilvl w:val="0"/>
          <w:numId w:val="1"/>
        </w:numPr>
        <w:tabs>
          <w:tab w:val="clear" w:pos="916"/>
          <w:tab w:val="left" w:pos="-142"/>
          <w:tab w:val="left" w:pos="-70"/>
          <w:tab w:val="left" w:pos="993"/>
          <w:tab w:val="left" w:pos="126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має всю повноту прав, що забезпечують його активну участь у діяльності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та утворюваних нею органів, несе обов'язки перед виборцями, Радою та її органами, виконує їх доручення.</w:t>
      </w:r>
    </w:p>
    <w:p w:rsidR="00DB5482" w:rsidRPr="0020789E" w:rsidRDefault="00DB5482" w:rsidP="00DB5482">
      <w:pPr>
        <w:pStyle w:val="HTML"/>
        <w:tabs>
          <w:tab w:val="left" w:pos="-70"/>
          <w:tab w:val="left" w:pos="0"/>
          <w:tab w:val="left" w:pos="9518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482" w:rsidRPr="00C2386A" w:rsidRDefault="00DB5482" w:rsidP="00DB5482">
      <w:pPr>
        <w:pStyle w:val="HTML"/>
        <w:tabs>
          <w:tab w:val="left" w:pos="-70"/>
          <w:tab w:val="left" w:pos="0"/>
          <w:tab w:val="left" w:pos="9518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 xml:space="preserve">Стаття 8. Посвідчення  депутата </w:t>
      </w:r>
      <w:r>
        <w:rPr>
          <w:rFonts w:ascii="Times New Roman" w:hAnsi="Times New Roman"/>
          <w:b/>
          <w:bCs/>
          <w:sz w:val="24"/>
          <w:szCs w:val="24"/>
        </w:rPr>
        <w:t>Ради</w:t>
      </w:r>
    </w:p>
    <w:p w:rsidR="00DB5482" w:rsidRPr="0020789E" w:rsidRDefault="00DB5482" w:rsidP="00DB5482">
      <w:pPr>
        <w:pStyle w:val="HTML"/>
        <w:tabs>
          <w:tab w:val="clear" w:pos="1832"/>
          <w:tab w:val="left" w:pos="-70"/>
          <w:tab w:val="left" w:pos="61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1. Депутату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після визнання їх повноважень надається: </w:t>
      </w:r>
    </w:p>
    <w:p w:rsidR="00DB5482" w:rsidRPr="0020789E" w:rsidRDefault="00DB5482" w:rsidP="00DB5482">
      <w:pPr>
        <w:pStyle w:val="HTML"/>
        <w:tabs>
          <w:tab w:val="clear" w:pos="1832"/>
          <w:tab w:val="left" w:pos="-70"/>
          <w:tab w:val="left" w:pos="61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а) тимчасове посвідчення про реєстрацію депутата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, видане </w:t>
      </w:r>
      <w:r w:rsidRPr="0020789E">
        <w:rPr>
          <w:rFonts w:ascii="Times New Roman" w:hAnsi="Times New Roman"/>
          <w:bCs/>
          <w:iCs/>
          <w:sz w:val="24"/>
          <w:szCs w:val="24"/>
        </w:rPr>
        <w:t xml:space="preserve">відповідною територіальною </w:t>
      </w:r>
      <w:r w:rsidRPr="0020789E">
        <w:rPr>
          <w:rFonts w:ascii="Times New Roman" w:hAnsi="Times New Roman"/>
          <w:sz w:val="24"/>
          <w:szCs w:val="24"/>
        </w:rPr>
        <w:t xml:space="preserve">виборчою комісією; </w:t>
      </w:r>
    </w:p>
    <w:p w:rsidR="00DB5482" w:rsidRPr="0020789E" w:rsidRDefault="00DB5482" w:rsidP="00DB5482">
      <w:pPr>
        <w:pStyle w:val="HTML"/>
        <w:tabs>
          <w:tab w:val="clear" w:pos="1832"/>
          <w:tab w:val="left" w:pos="-70"/>
          <w:tab w:val="left" w:pos="61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б) посвідчення депутата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;</w:t>
      </w:r>
    </w:p>
    <w:p w:rsidR="00DB5482" w:rsidRPr="003F7EA9" w:rsidRDefault="00DB5482" w:rsidP="00DB5482">
      <w:pPr>
        <w:pStyle w:val="HTML"/>
        <w:tabs>
          <w:tab w:val="clear" w:pos="1832"/>
          <w:tab w:val="left" w:pos="-70"/>
          <w:tab w:val="left" w:pos="61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clear" w:pos="9160"/>
          <w:tab w:val="left" w:pos="-70"/>
          <w:tab w:val="left" w:pos="11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 xml:space="preserve">Стаття 9. Форми роботи депутата </w:t>
      </w:r>
      <w:r>
        <w:rPr>
          <w:rFonts w:ascii="Times New Roman" w:hAnsi="Times New Roman"/>
          <w:b/>
          <w:bCs/>
          <w:sz w:val="24"/>
          <w:szCs w:val="24"/>
        </w:rPr>
        <w:t>Ради</w:t>
      </w:r>
    </w:p>
    <w:p w:rsidR="00DB5482" w:rsidRPr="0020789E" w:rsidRDefault="00DB5482" w:rsidP="00DB5482">
      <w:pPr>
        <w:pStyle w:val="HTML"/>
        <w:tabs>
          <w:tab w:val="clear" w:pos="9160"/>
          <w:tab w:val="left" w:pos="-70"/>
          <w:tab w:val="left" w:pos="11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>1. Діяльність депутата в Раді включає:</w:t>
      </w:r>
    </w:p>
    <w:p w:rsidR="00DB5482" w:rsidRPr="0020789E" w:rsidRDefault="00DB5482" w:rsidP="00DB5482">
      <w:pPr>
        <w:pStyle w:val="HTML"/>
        <w:tabs>
          <w:tab w:val="clear" w:pos="9160"/>
          <w:tab w:val="left" w:pos="-70"/>
          <w:tab w:val="left" w:pos="0"/>
          <w:tab w:val="left" w:pos="11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а) участь у пленарних засіданнях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;</w:t>
      </w:r>
    </w:p>
    <w:p w:rsidR="00DB5482" w:rsidRPr="0020789E" w:rsidRDefault="00DB5482" w:rsidP="00DB5482">
      <w:pPr>
        <w:pStyle w:val="HTML"/>
        <w:tabs>
          <w:tab w:val="clear" w:pos="916"/>
          <w:tab w:val="clear" w:pos="9160"/>
          <w:tab w:val="left" w:pos="-180"/>
          <w:tab w:val="left" w:pos="-70"/>
          <w:tab w:val="left" w:pos="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б) участь у засіданнях постійних комісій, тимчасових контрольних комісій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, їх підкомісій та робочих груп, до яких він обраний, з правом вирішального голосу, а у засіданні будь-яких інших комісій – з правом дорадчого голосу;</w:t>
      </w:r>
    </w:p>
    <w:p w:rsidR="00DB5482" w:rsidRPr="0020789E" w:rsidRDefault="00DB5482" w:rsidP="00DB5482">
      <w:pPr>
        <w:pStyle w:val="HTML"/>
        <w:tabs>
          <w:tab w:val="clear" w:pos="9160"/>
          <w:tab w:val="left" w:pos="-70"/>
          <w:tab w:val="left" w:pos="0"/>
          <w:tab w:val="left" w:pos="11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в) виконання доручень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та її органів;</w:t>
      </w:r>
    </w:p>
    <w:p w:rsidR="00DB5482" w:rsidRPr="0020789E" w:rsidRDefault="00DB5482" w:rsidP="00DB5482">
      <w:pPr>
        <w:pStyle w:val="HTML"/>
        <w:tabs>
          <w:tab w:val="clear" w:pos="916"/>
          <w:tab w:val="clear" w:pos="9160"/>
          <w:tab w:val="left" w:pos="-70"/>
          <w:tab w:val="left" w:pos="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г) роботу над проектами рішень, документами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та виконання інших депутатських повноважень у складі депутатських фракцій та груп чи індивідуально;</w:t>
      </w:r>
    </w:p>
    <w:p w:rsidR="00DB5482" w:rsidRPr="0020789E" w:rsidRDefault="00DB5482" w:rsidP="00DB5482">
      <w:pPr>
        <w:pStyle w:val="HTML"/>
        <w:tabs>
          <w:tab w:val="clear" w:pos="9160"/>
          <w:tab w:val="left" w:pos="-70"/>
          <w:tab w:val="left" w:pos="0"/>
          <w:tab w:val="left" w:pos="110"/>
          <w:tab w:val="left" w:pos="9518"/>
          <w:tab w:val="left" w:pos="965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325B">
        <w:rPr>
          <w:rFonts w:ascii="Times New Roman" w:hAnsi="Times New Roman"/>
          <w:color w:val="000000"/>
          <w:sz w:val="24"/>
          <w:szCs w:val="24"/>
        </w:rPr>
        <w:t>ґ)</w:t>
      </w:r>
      <w:r w:rsidRPr="0020789E">
        <w:rPr>
          <w:rFonts w:ascii="Times New Roman" w:hAnsi="Times New Roman"/>
          <w:sz w:val="24"/>
          <w:szCs w:val="24"/>
        </w:rPr>
        <w:t xml:space="preserve"> роботу з населенням </w:t>
      </w:r>
      <w:r>
        <w:rPr>
          <w:rFonts w:ascii="Times New Roman" w:hAnsi="Times New Roman"/>
          <w:sz w:val="24"/>
          <w:szCs w:val="24"/>
        </w:rPr>
        <w:t>Тростянецької селищної</w:t>
      </w:r>
      <w:r w:rsidRPr="0020789E">
        <w:rPr>
          <w:rFonts w:ascii="Times New Roman" w:hAnsi="Times New Roman"/>
          <w:sz w:val="24"/>
          <w:szCs w:val="24"/>
        </w:rPr>
        <w:t xml:space="preserve"> об’єднаної територіальної громади та відповідного виборчого округу.</w:t>
      </w: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613"/>
          <w:tab w:val="left" w:pos="137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2. 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зобов'язаний зареєструватися і бути присутнім на пленарних засіданнях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та засіданнях її органів, до яких його обрано. </w:t>
      </w:r>
    </w:p>
    <w:p w:rsidR="00DB5482" w:rsidRPr="0020789E" w:rsidRDefault="00DB5482" w:rsidP="00DB5482">
      <w:pPr>
        <w:pStyle w:val="HTML"/>
        <w:tabs>
          <w:tab w:val="clear" w:pos="1832"/>
          <w:tab w:val="left" w:pos="-70"/>
          <w:tab w:val="left" w:pos="613"/>
          <w:tab w:val="left" w:pos="9518"/>
          <w:tab w:val="left" w:pos="1048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clear" w:pos="2748"/>
          <w:tab w:val="left" w:pos="-70"/>
          <w:tab w:val="left" w:pos="613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>Стаття 10. Депутатські фракції та групи</w:t>
      </w:r>
    </w:p>
    <w:p w:rsidR="00DB5482" w:rsidRPr="004F2BB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2BBE">
        <w:rPr>
          <w:rFonts w:ascii="Times New Roman" w:hAnsi="Times New Roman"/>
          <w:sz w:val="24"/>
          <w:szCs w:val="24"/>
        </w:rPr>
        <w:t xml:space="preserve"> Депутати </w:t>
      </w:r>
      <w:r>
        <w:rPr>
          <w:rFonts w:ascii="Times New Roman" w:hAnsi="Times New Roman"/>
          <w:sz w:val="24"/>
          <w:szCs w:val="24"/>
        </w:rPr>
        <w:t>Ради</w:t>
      </w:r>
      <w:r w:rsidRPr="004F2BBE">
        <w:rPr>
          <w:rFonts w:ascii="Times New Roman" w:hAnsi="Times New Roman"/>
          <w:sz w:val="24"/>
          <w:szCs w:val="24"/>
        </w:rPr>
        <w:t xml:space="preserve"> мають право об'єднуватися у депутатські групи та фракції. 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2BBE">
        <w:rPr>
          <w:rFonts w:ascii="Times New Roman" w:hAnsi="Times New Roman"/>
          <w:sz w:val="24"/>
          <w:szCs w:val="24"/>
        </w:rPr>
        <w:t xml:space="preserve">Депутати Тростянецької селищної </w:t>
      </w:r>
      <w:r>
        <w:rPr>
          <w:rFonts w:ascii="Times New Roman" w:hAnsi="Times New Roman"/>
          <w:sz w:val="24"/>
          <w:szCs w:val="24"/>
        </w:rPr>
        <w:t>ради</w:t>
      </w:r>
      <w:r w:rsidRPr="004F2BBE">
        <w:rPr>
          <w:rFonts w:ascii="Times New Roman" w:hAnsi="Times New Roman"/>
          <w:sz w:val="24"/>
          <w:szCs w:val="24"/>
        </w:rPr>
        <w:t xml:space="preserve">  на  основі  єдності поглядів   або  партійного   членства можуть об'єднуватися у депутатські фракції місцевих рад.</w:t>
      </w:r>
      <w:r w:rsidRPr="0020789E">
        <w:rPr>
          <w:rFonts w:ascii="Times New Roman" w:hAnsi="Times New Roman"/>
          <w:color w:val="000000"/>
          <w:sz w:val="24"/>
          <w:szCs w:val="24"/>
        </w:rPr>
        <w:t xml:space="preserve">  До складу депутатських  фракцій можуть входити також позапартійні депутати  селищної </w:t>
      </w:r>
      <w:r>
        <w:rPr>
          <w:rFonts w:ascii="Times New Roman" w:hAnsi="Times New Roman"/>
          <w:color w:val="000000"/>
          <w:sz w:val="24"/>
          <w:szCs w:val="24"/>
        </w:rPr>
        <w:t>ради</w:t>
      </w:r>
      <w:r w:rsidRPr="0020789E">
        <w:rPr>
          <w:rFonts w:ascii="Times New Roman" w:hAnsi="Times New Roman"/>
          <w:color w:val="000000"/>
          <w:sz w:val="24"/>
          <w:szCs w:val="24"/>
        </w:rPr>
        <w:t xml:space="preserve">, які підтримують політичну спрямованість </w:t>
      </w:r>
      <w:r w:rsidRPr="004F2BBE">
        <w:rPr>
          <w:rFonts w:ascii="Times New Roman" w:hAnsi="Times New Roman"/>
          <w:sz w:val="24"/>
          <w:szCs w:val="24"/>
        </w:rPr>
        <w:t>фракцій.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може входити до складу лише однієї депутатської фракції.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Депутатські групи (фракції) формуються не </w:t>
      </w:r>
      <w:proofErr w:type="spellStart"/>
      <w:r w:rsidRPr="0020789E">
        <w:rPr>
          <w:rFonts w:ascii="Times New Roman" w:hAnsi="Times New Roman"/>
          <w:sz w:val="24"/>
          <w:szCs w:val="24"/>
        </w:rPr>
        <w:t>менше</w:t>
      </w:r>
      <w:r>
        <w:rPr>
          <w:rFonts w:ascii="Times New Roman" w:hAnsi="Times New Roman"/>
          <w:sz w:val="24"/>
          <w:szCs w:val="24"/>
        </w:rPr>
        <w:t>,</w:t>
      </w:r>
      <w:r w:rsidRPr="004F2BBE">
        <w:rPr>
          <w:rFonts w:ascii="Times New Roman" w:hAnsi="Times New Roman"/>
          <w:sz w:val="24"/>
          <w:szCs w:val="24"/>
        </w:rPr>
        <w:t>як</w:t>
      </w:r>
      <w:proofErr w:type="spellEnd"/>
      <w:r w:rsidRPr="004F2BBE">
        <w:rPr>
          <w:rFonts w:ascii="Times New Roman" w:hAnsi="Times New Roman"/>
          <w:sz w:val="24"/>
          <w:szCs w:val="24"/>
        </w:rPr>
        <w:t xml:space="preserve"> 2-ма</w:t>
      </w:r>
      <w:r w:rsidRPr="0020789E">
        <w:rPr>
          <w:rFonts w:ascii="Times New Roman" w:hAnsi="Times New Roman"/>
          <w:sz w:val="24"/>
          <w:szCs w:val="24"/>
        </w:rPr>
        <w:t xml:space="preserve"> депутатами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для спільної роботи по здійсненню депутатських повноважень на основі їх взаємної згоди. 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lastRenderedPageBreak/>
        <w:t xml:space="preserve">До складу депутатської групи </w:t>
      </w:r>
      <w:r w:rsidRPr="004F2BBE">
        <w:rPr>
          <w:rFonts w:ascii="Times New Roman" w:hAnsi="Times New Roman"/>
          <w:sz w:val="24"/>
          <w:szCs w:val="24"/>
        </w:rPr>
        <w:t>можуть входити</w:t>
      </w:r>
      <w:r w:rsidRPr="0020789E">
        <w:rPr>
          <w:rFonts w:ascii="Times New Roman" w:hAnsi="Times New Roman"/>
          <w:sz w:val="24"/>
          <w:szCs w:val="24"/>
        </w:rPr>
        <w:t xml:space="preserve"> позапартійні депутати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та депутати, які представляють різні політичні партії. Повна та скорочена назва таких депутатських груп визначається ними самостійно.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Депутати 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об’єднуються в депутатські групи за єдністю території їх виборчих округів, спільністю проблем, які вони вирішують.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Депутатські фракції та групи не можуть формуватися для захисту приватних або комерційних інтересів. </w:t>
      </w:r>
    </w:p>
    <w:p w:rsidR="00DB5482" w:rsidRPr="0020789E" w:rsidRDefault="00DB5482" w:rsidP="00DB5482">
      <w:pPr>
        <w:pStyle w:val="HTML"/>
        <w:numPr>
          <w:ilvl w:val="0"/>
          <w:numId w:val="2"/>
        </w:numPr>
        <w:tabs>
          <w:tab w:val="left" w:pos="-70"/>
          <w:tab w:val="left" w:pos="0"/>
          <w:tab w:val="left" w:pos="95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Порядок роботи депутатської фракції та групи, умови вступу депутата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до депутатської фракції та групи, його виходу чи виключення з неї визначаються цим Регламентом. </w:t>
      </w:r>
    </w:p>
    <w:p w:rsidR="00DB5482" w:rsidRPr="0020789E" w:rsidRDefault="00DB5482" w:rsidP="00DB5482">
      <w:pPr>
        <w:pStyle w:val="HTML"/>
        <w:tabs>
          <w:tab w:val="left" w:pos="-70"/>
          <w:tab w:val="left" w:pos="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left" w:pos="-70"/>
          <w:tab w:val="left" w:pos="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sz w:val="24"/>
          <w:szCs w:val="24"/>
        </w:rPr>
        <w:t>Стаття 11. Порядок утворення депутатських фракцій та груп</w:t>
      </w:r>
    </w:p>
    <w:p w:rsidR="00DB5482" w:rsidRPr="0020789E" w:rsidRDefault="00DB5482" w:rsidP="00DB5482">
      <w:pPr>
        <w:pStyle w:val="HTML"/>
        <w:numPr>
          <w:ilvl w:val="0"/>
          <w:numId w:val="3"/>
        </w:numPr>
        <w:tabs>
          <w:tab w:val="left" w:pos="-70"/>
          <w:tab w:val="left" w:pos="0"/>
          <w:tab w:val="left" w:pos="9518"/>
          <w:tab w:val="left" w:pos="1001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Депутатські фракції та групи можуть бути утворені в будь-який час протягом строку повноважень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даного скликання на визначений ними період, але не більше ніж на строк повноважень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. </w:t>
      </w:r>
    </w:p>
    <w:p w:rsidR="00DB5482" w:rsidRPr="0020789E" w:rsidRDefault="00DB5482" w:rsidP="00DB5482">
      <w:pPr>
        <w:pStyle w:val="HTML"/>
        <w:numPr>
          <w:ilvl w:val="0"/>
          <w:numId w:val="3"/>
        </w:numPr>
        <w:tabs>
          <w:tab w:val="left" w:pos="-70"/>
          <w:tab w:val="left" w:pos="0"/>
          <w:tab w:val="left" w:pos="9518"/>
          <w:tab w:val="left" w:pos="1001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>Депутатські групи та фракції утворюються на засіданні депутатів, що виявили бажання створити групу чи фракцію.</w:t>
      </w:r>
    </w:p>
    <w:p w:rsidR="00DB5482" w:rsidRPr="0020789E" w:rsidRDefault="00DB5482" w:rsidP="00DB5482">
      <w:pPr>
        <w:pStyle w:val="HTML"/>
        <w:numPr>
          <w:ilvl w:val="0"/>
          <w:numId w:val="3"/>
        </w:numPr>
        <w:tabs>
          <w:tab w:val="left" w:pos="-70"/>
          <w:tab w:val="left" w:pos="0"/>
          <w:tab w:val="left" w:pos="9518"/>
          <w:tab w:val="left" w:pos="1001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Рішення про утворення групи чи фракції, обрання осіб, що уповноважені представляти групу чи фракцію, оформляється протоколом, який підписують депутати – засновники групи чи фракції. Протокол передається секретарю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.</w:t>
      </w:r>
    </w:p>
    <w:p w:rsidR="00DB5482" w:rsidRPr="0020789E" w:rsidRDefault="00DB5482" w:rsidP="00DB5482">
      <w:pPr>
        <w:pStyle w:val="HTML"/>
        <w:numPr>
          <w:ilvl w:val="0"/>
          <w:numId w:val="3"/>
        </w:numPr>
        <w:tabs>
          <w:tab w:val="left" w:pos="-70"/>
          <w:tab w:val="left" w:pos="0"/>
          <w:tab w:val="left" w:pos="9518"/>
          <w:tab w:val="left" w:pos="1001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(а у разі його відсутності – уповноважена </w:t>
      </w:r>
      <w:r>
        <w:rPr>
          <w:rFonts w:ascii="Times New Roman" w:hAnsi="Times New Roman"/>
          <w:sz w:val="24"/>
          <w:szCs w:val="24"/>
        </w:rPr>
        <w:t>Тростянецьким селищним</w:t>
      </w:r>
      <w:r w:rsidRPr="0020789E">
        <w:rPr>
          <w:rFonts w:ascii="Times New Roman" w:hAnsi="Times New Roman"/>
          <w:sz w:val="24"/>
          <w:szCs w:val="24"/>
        </w:rPr>
        <w:t xml:space="preserve"> головою особа) оголошує про утворення фракції чи групи та її склад на найближчому пленарному засіданні. Група чи фракція в</w:t>
      </w:r>
      <w:r>
        <w:rPr>
          <w:rFonts w:ascii="Times New Roman" w:hAnsi="Times New Roman"/>
          <w:sz w:val="24"/>
          <w:szCs w:val="24"/>
        </w:rPr>
        <w:t>в</w:t>
      </w:r>
      <w:r w:rsidRPr="0020789E">
        <w:rPr>
          <w:rFonts w:ascii="Times New Roman" w:hAnsi="Times New Roman"/>
          <w:sz w:val="24"/>
          <w:szCs w:val="24"/>
        </w:rPr>
        <w:t xml:space="preserve">ажаються утвореними з моменту проголошення про це на пленарному засіданні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. Невмотивована відмова від оголошення про утворення депутатської фракції чи групи не допускається. </w:t>
      </w:r>
    </w:p>
    <w:p w:rsidR="00DB5482" w:rsidRPr="0020789E" w:rsidRDefault="00DB5482" w:rsidP="00DB5482">
      <w:pPr>
        <w:pStyle w:val="HTML"/>
        <w:numPr>
          <w:ilvl w:val="0"/>
          <w:numId w:val="3"/>
        </w:numPr>
        <w:tabs>
          <w:tab w:val="left" w:pos="-70"/>
          <w:tab w:val="left" w:pos="0"/>
          <w:tab w:val="left" w:pos="9518"/>
          <w:tab w:val="left" w:pos="1001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Інформаційні матеріали про депутатську фракцію та групу поширюються серед депутатів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. У тому ж порядку повідомляється про зміни в складі депутатських фракцій чи груп.</w:t>
      </w:r>
    </w:p>
    <w:p w:rsidR="00DB5482" w:rsidRPr="0020789E" w:rsidRDefault="00DB5482" w:rsidP="00DB5482">
      <w:pPr>
        <w:pStyle w:val="HTML"/>
        <w:tabs>
          <w:tab w:val="left" w:pos="-70"/>
          <w:tab w:val="left" w:pos="11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0"/>
          <w:tab w:val="left" w:pos="110"/>
          <w:tab w:val="left" w:pos="993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 xml:space="preserve">Стаття 12. Права депутатських фракцій та груп </w:t>
      </w: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0"/>
          <w:tab w:val="left" w:pos="110"/>
          <w:tab w:val="left" w:pos="290"/>
          <w:tab w:val="left" w:pos="993"/>
          <w:tab w:val="left" w:pos="126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1. Депутатські фракції та групи попередньо обговорюють кандидатури посадових осіб, яких обирає, призначає чи затверджує </w:t>
      </w:r>
      <w:r>
        <w:rPr>
          <w:rFonts w:ascii="Times New Roman" w:hAnsi="Times New Roman"/>
          <w:sz w:val="24"/>
          <w:szCs w:val="24"/>
        </w:rPr>
        <w:t>Рада</w:t>
      </w:r>
      <w:r w:rsidRPr="0020789E">
        <w:rPr>
          <w:rFonts w:ascii="Times New Roman" w:hAnsi="Times New Roman"/>
          <w:sz w:val="24"/>
          <w:szCs w:val="24"/>
        </w:rPr>
        <w:t>.</w:t>
      </w: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0"/>
          <w:tab w:val="left" w:pos="470"/>
          <w:tab w:val="left" w:pos="993"/>
          <w:tab w:val="left" w:pos="126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2. Кожна депутатська фракція та група має гарантоване право на виступ свого представника з кожного питання порядку денного на сесії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. </w:t>
      </w: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0"/>
          <w:tab w:val="left" w:pos="470"/>
          <w:tab w:val="left" w:pos="993"/>
          <w:tab w:val="left" w:pos="126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>3. Депутатські фракції та групи можуть об’єднувати свої зусилля з іншими фракціями, групами для створення більшості в Раді чи опозиції.</w:t>
      </w:r>
    </w:p>
    <w:p w:rsidR="00DB5482" w:rsidRPr="0020789E" w:rsidRDefault="00DB5482" w:rsidP="00DB5482">
      <w:pPr>
        <w:pStyle w:val="HTML"/>
        <w:tabs>
          <w:tab w:val="clear" w:pos="916"/>
          <w:tab w:val="clear" w:pos="1832"/>
          <w:tab w:val="left" w:pos="-70"/>
          <w:tab w:val="left" w:pos="0"/>
          <w:tab w:val="left" w:pos="110"/>
          <w:tab w:val="left" w:pos="470"/>
          <w:tab w:val="left" w:pos="993"/>
          <w:tab w:val="left" w:pos="126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3. Жодна депутатська фракція та група не має права виступати від імені </w:t>
      </w:r>
      <w:r>
        <w:rPr>
          <w:rFonts w:ascii="Times New Roman" w:hAnsi="Times New Roman"/>
          <w:sz w:val="24"/>
          <w:szCs w:val="24"/>
        </w:rPr>
        <w:t>Тростянецької селищної</w:t>
      </w:r>
      <w:r w:rsidRPr="0020789E">
        <w:rPr>
          <w:rFonts w:ascii="Times New Roman" w:hAnsi="Times New Roman"/>
          <w:sz w:val="24"/>
          <w:szCs w:val="24"/>
        </w:rPr>
        <w:t xml:space="preserve"> об’єднаної територіальної громади та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.</w:t>
      </w:r>
    </w:p>
    <w:p w:rsidR="00DB5482" w:rsidRPr="0020789E" w:rsidRDefault="00DB5482" w:rsidP="00DB5482">
      <w:pPr>
        <w:pStyle w:val="HTML"/>
        <w:tabs>
          <w:tab w:val="left" w:pos="1800"/>
          <w:tab w:val="left" w:pos="234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left" w:pos="1800"/>
          <w:tab w:val="left" w:pos="234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sz w:val="24"/>
          <w:szCs w:val="24"/>
        </w:rPr>
        <w:t>Стаття 13. Реорганізація, зміни і припинення діяльності депутатських фракцій, груп</w:t>
      </w:r>
    </w:p>
    <w:p w:rsidR="00DB5482" w:rsidRPr="0020789E" w:rsidRDefault="00DB5482" w:rsidP="00DB5482">
      <w:pPr>
        <w:pStyle w:val="HTML"/>
        <w:tabs>
          <w:tab w:val="clear" w:pos="916"/>
          <w:tab w:val="left" w:pos="-70"/>
          <w:tab w:val="left" w:pos="110"/>
          <w:tab w:val="left" w:pos="99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1. Реорганізація та формування нових депутатських фракцій та груп можуть проводитися протягом повноважень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із збереженням їх пропорційного представництва в органах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, чи з відступом від нього відповідно до рішення, прийнятого Радою щодо такого представництва.</w:t>
      </w:r>
    </w:p>
    <w:p w:rsidR="00DB5482" w:rsidRPr="0020789E" w:rsidRDefault="00DB5482" w:rsidP="00DB5482">
      <w:pPr>
        <w:pStyle w:val="HTML"/>
        <w:tabs>
          <w:tab w:val="clear" w:pos="916"/>
          <w:tab w:val="left" w:pos="-70"/>
          <w:tab w:val="left" w:pos="110"/>
          <w:tab w:val="left" w:pos="993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2. Про зміни в складі депутатської фракції та групи її уповноважений представник повідомляє письмово </w:t>
      </w:r>
      <w:r>
        <w:rPr>
          <w:rFonts w:ascii="Times New Roman" w:hAnsi="Times New Roman"/>
          <w:sz w:val="24"/>
          <w:szCs w:val="24"/>
        </w:rPr>
        <w:t>Тростянецького селищного</w:t>
      </w:r>
      <w:r w:rsidRPr="0020789E">
        <w:rPr>
          <w:rFonts w:ascii="Times New Roman" w:hAnsi="Times New Roman"/>
          <w:sz w:val="24"/>
          <w:szCs w:val="24"/>
        </w:rPr>
        <w:t xml:space="preserve"> голову. Це повідомлення підписує депутат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>, який його подає, та уповноважений представник групи (фракції) або уповноважений представник депутатської фракції чи групи, якщо депутата виключено з неї.</w:t>
      </w:r>
    </w:p>
    <w:p w:rsidR="00DB5482" w:rsidRPr="0020789E" w:rsidRDefault="00DB5482" w:rsidP="00DB5482">
      <w:pPr>
        <w:pStyle w:val="HTML"/>
        <w:tabs>
          <w:tab w:val="left" w:pos="-540"/>
          <w:tab w:val="left" w:pos="470"/>
          <w:tab w:val="left" w:pos="9518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482" w:rsidRPr="0020789E" w:rsidRDefault="00DB5482" w:rsidP="00DB5482">
      <w:pPr>
        <w:pStyle w:val="HTML"/>
        <w:tabs>
          <w:tab w:val="left" w:pos="-540"/>
          <w:tab w:val="left" w:pos="470"/>
          <w:tab w:val="left" w:pos="95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789E">
        <w:rPr>
          <w:rFonts w:ascii="Times New Roman" w:hAnsi="Times New Roman"/>
          <w:b/>
          <w:bCs/>
          <w:sz w:val="24"/>
          <w:szCs w:val="24"/>
        </w:rPr>
        <w:t xml:space="preserve">Стаття 14. Забезпечення діяльності депутатських фракцій та груп </w:t>
      </w:r>
    </w:p>
    <w:p w:rsidR="00DB5482" w:rsidRPr="0020789E" w:rsidRDefault="00DB5482" w:rsidP="00DB5482">
      <w:pPr>
        <w:pStyle w:val="HTML"/>
        <w:tabs>
          <w:tab w:val="clear" w:pos="916"/>
          <w:tab w:val="left" w:pos="-70"/>
          <w:tab w:val="left" w:pos="470"/>
          <w:tab w:val="left" w:pos="1260"/>
          <w:tab w:val="left" w:pos="101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Тростянецький селищний</w:t>
      </w:r>
      <w:r w:rsidRPr="0020789E">
        <w:rPr>
          <w:rFonts w:ascii="Times New Roman" w:hAnsi="Times New Roman"/>
          <w:sz w:val="24"/>
          <w:szCs w:val="24"/>
        </w:rPr>
        <w:t xml:space="preserve"> голова забезпечує депутатські фракції та групи приміщенням, необхідним обладнанням тощо, а також сприяє у здійсненні депутатськими фракціями та групами передбачених законами і цим Регламентом функцій в раді.</w:t>
      </w:r>
    </w:p>
    <w:p w:rsidR="00DB5482" w:rsidRPr="0020789E" w:rsidRDefault="00DB5482" w:rsidP="00DB5482">
      <w:pPr>
        <w:pStyle w:val="HTML"/>
        <w:tabs>
          <w:tab w:val="clear" w:pos="916"/>
          <w:tab w:val="left" w:pos="-70"/>
          <w:tab w:val="left" w:pos="470"/>
          <w:tab w:val="num" w:pos="1010"/>
          <w:tab w:val="left" w:pos="1260"/>
          <w:tab w:val="left" w:pos="95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789E">
        <w:rPr>
          <w:rFonts w:ascii="Times New Roman" w:hAnsi="Times New Roman"/>
          <w:sz w:val="24"/>
          <w:szCs w:val="24"/>
        </w:rPr>
        <w:lastRenderedPageBreak/>
        <w:t xml:space="preserve">2. За зверненням уповноваженого представника депутатської фракції чи групи поширюються серед депутатів </w:t>
      </w:r>
      <w:r>
        <w:rPr>
          <w:rFonts w:ascii="Times New Roman" w:hAnsi="Times New Roman"/>
          <w:sz w:val="24"/>
          <w:szCs w:val="24"/>
        </w:rPr>
        <w:t>Ради</w:t>
      </w:r>
      <w:r w:rsidRPr="0020789E">
        <w:rPr>
          <w:rFonts w:ascii="Times New Roman" w:hAnsi="Times New Roman"/>
          <w:sz w:val="24"/>
          <w:szCs w:val="24"/>
        </w:rPr>
        <w:t xml:space="preserve"> підготовлені нею матеріали про її діяльність як офіційні від депутатської фракції чи групи. 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 xml:space="preserve">ІІ. 3. Посадові особи </w:t>
      </w:r>
      <w:r>
        <w:rPr>
          <w:b/>
          <w:bCs/>
          <w:color w:val="000000"/>
          <w:lang w:val="uk-UA"/>
        </w:rPr>
        <w:t>ради</w:t>
      </w: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Stattya-1"/>
        <w:spacing w:line="240" w:lineRule="auto"/>
        <w:ind w:firstLine="567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>Стаття 15. Голова громади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1. Голова громади є головною посадовою особою в системі органів місцевого самоврядування громади.</w:t>
      </w:r>
    </w:p>
    <w:p w:rsidR="00DB5482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>Повноваження селищного голови починаються з моменту складення ним присяги відповідно до Закону України 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>Про службу в органах місцевого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 xml:space="preserve"> на пленарному засіданні відповідної сільської, селищної,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 xml:space="preserve">, на якому відповідною територіальною виборчою комісією були оголошені рішення щодо його обрання та реєстрації. Повноваження сільського, селищного, міського голови закінчуються в день відкриття першої сесії відповідної сільської, селищної,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 xml:space="preserve">, обраної на наступних чергових місцевих виборах, або, якщо </w:t>
      </w:r>
      <w:r>
        <w:rPr>
          <w:rFonts w:ascii="Times New Roman" w:hAnsi="Times New Roman" w:cs="Times New Roman"/>
          <w:sz w:val="24"/>
          <w:szCs w:val="24"/>
          <w:lang w:val="uk-UA"/>
        </w:rPr>
        <w:t>рада</w:t>
      </w:r>
      <w:r w:rsidRPr="008F33D8">
        <w:rPr>
          <w:rFonts w:ascii="Times New Roman" w:hAnsi="Times New Roman" w:cs="Times New Roman"/>
          <w:sz w:val="24"/>
          <w:szCs w:val="24"/>
          <w:lang w:val="uk-UA"/>
        </w:rPr>
        <w:t xml:space="preserve"> не обрана, з моменту вступу на цю посаду іншої особи, обраної на наступних місцевих виборах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3. Повноваження голови громади визначаються чинним законодавством і можуть бути припинені достроково у випадках, передбачених чинним законодавством.</w:t>
      </w:r>
    </w:p>
    <w:p w:rsidR="00DB5482" w:rsidRPr="0020789E" w:rsidRDefault="00DB5482" w:rsidP="00DB5482">
      <w:pPr>
        <w:suppressLineNumbers/>
        <w:tabs>
          <w:tab w:val="num" w:pos="924"/>
        </w:tabs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4. При здійсненні наданих повноважень голова громади є підзвітним, підконтрольним і відповідальним перед громадою, підзвітним і підконтрольним перед радою громади за діяльність її виконавчих органів.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5. Щорічно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селищний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голова зобов'язаний прозвітувати перед радою та громадою про роботу виконавчих органів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6. Конкретна дата звіту перед радою визначається на пленарному засіданні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7.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Рада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може зажадати позачергового звіту голови громади, якщо за це проголосувало понад половини від складу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і від попереднього звіту пройшло не менше як три місяці.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B5482" w:rsidRPr="0020789E" w:rsidRDefault="00DB5482" w:rsidP="00DB5482">
      <w:pPr>
        <w:keepNext/>
        <w:ind w:firstLine="567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  <w:t xml:space="preserve">Стаття 16. Секретар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  <w:t>ради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1. Секретар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обирається за пропозицією голови громади радою з числа її депутатів на строк повноважень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працює в раді на постійній основі. Повноваження секретаря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можуть бути достроково припинені за рішенням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Секретар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1) у випадках, передбачених чинним законодавством та цим Регламентом: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- </w:t>
      </w:r>
      <w:proofErr w:type="spellStart"/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скликає</w:t>
      </w:r>
      <w:proofErr w:type="spellEnd"/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веде засідання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- підписує протоколи сесії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її рішення;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2) організовує підготовку сесій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питань, що вносяться на розгляд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3) повідомляє депутатам і доводить до відома населення інформацію про час і місце проведення сесії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, питання, які передбачається </w:t>
      </w:r>
      <w:proofErr w:type="spellStart"/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внести</w:t>
      </w:r>
      <w:proofErr w:type="spellEnd"/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на розгляд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4) забезпечує своєчасне доведення рішень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до виконавців і населення, організовує контроль за їх виконанням;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5) за дорученням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Тростянецького селищного голови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контролює діяльність постійних та інших комісій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, дає їм доручення, сприяє організації виконання їх рекомендацій;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6) сприяє депутатам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у здійсненні їх повноважень;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7) організовує за дорученням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відповідно до законодавства здійснення заходів, пов'язаних з підготовкою та проведенням референдумів і виборів до органів державної влади та місцевого самоврядування;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8) забезпечує зберігання у раді офіційних документів, пов'язаних з місцевим самоврядуванням територіальної громади, забезпечує доступ до них осіб, яким це право надано у встановленому порядку;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9) вирішує за дорученням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Тростянецького селищного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голови або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інші питання, пов'язані з діяльністю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її органів;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10) здійснює інші повноваження, що випливають із Закону України «Про місцеве самоврядування в Україні» та цього регламенту.</w:t>
      </w:r>
    </w:p>
    <w:p w:rsidR="00DB5482" w:rsidRPr="0020789E" w:rsidRDefault="00DB5482" w:rsidP="00DB5482">
      <w:pPr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lastRenderedPageBreak/>
        <w:t>3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. Секретар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за пропозиціями відповідних комісій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організовує планування роботи з підготовки проектів рішень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і, враховуючи висновки профільних комісій про готовність проектів рішень та інших актів до розгляду, вносить відповідні пропозиції на розгляд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Тростянецького селищного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Default="00DB5482" w:rsidP="00DB5482">
      <w:pPr>
        <w:pStyle w:val="Stattya-1"/>
        <w:spacing w:line="240" w:lineRule="auto"/>
        <w:ind w:firstLine="567"/>
        <w:rPr>
          <w:b/>
          <w:bCs/>
          <w:color w:val="000000"/>
          <w:lang w:val="uk-UA"/>
        </w:rPr>
      </w:pPr>
    </w:p>
    <w:p w:rsidR="00DB5482" w:rsidRDefault="00DB5482" w:rsidP="00DB5482">
      <w:pPr>
        <w:pStyle w:val="Stattya-1"/>
        <w:spacing w:line="240" w:lineRule="auto"/>
        <w:ind w:firstLine="567"/>
        <w:rPr>
          <w:b/>
          <w:bCs/>
          <w:lang w:val="uk-UA"/>
        </w:rPr>
      </w:pPr>
      <w:r w:rsidRPr="004F2BBE">
        <w:rPr>
          <w:b/>
          <w:bCs/>
          <w:lang w:val="uk-UA"/>
        </w:rPr>
        <w:t xml:space="preserve">Стаття 17. Староста </w:t>
      </w:r>
    </w:p>
    <w:p w:rsidR="00DB5482" w:rsidRDefault="00DB5482" w:rsidP="00DB5482">
      <w:pPr>
        <w:pStyle w:val="Stattya-1"/>
        <w:spacing w:line="240" w:lineRule="auto"/>
        <w:ind w:firstLine="567"/>
        <w:rPr>
          <w:b/>
          <w:bCs/>
          <w:lang w:val="uk-UA"/>
        </w:rPr>
      </w:pPr>
    </w:p>
    <w:p w:rsidR="00DB5482" w:rsidRPr="004F2BBE" w:rsidRDefault="00DB5482" w:rsidP="00DB54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 xml:space="preserve">1. </w:t>
      </w:r>
      <w:r w:rsidRPr="004F2BBE">
        <w:rPr>
          <w:color w:val="000000"/>
          <w:lang w:val="uk-UA"/>
        </w:rPr>
        <w:t>Староста є виборною посадовою особою місцевого самоврядування.</w:t>
      </w:r>
      <w:bookmarkStart w:id="1" w:name="n1162"/>
      <w:bookmarkEnd w:id="1"/>
    </w:p>
    <w:p w:rsidR="00DB5482" w:rsidRPr="004F2BBE" w:rsidRDefault="00DB5482" w:rsidP="00DB54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 w:rsidRPr="004F2BBE">
        <w:rPr>
          <w:color w:val="000000"/>
          <w:lang w:val="uk-UA"/>
        </w:rPr>
        <w:t xml:space="preserve">2. Староста обирається жителями села, селища (сіл, селищ), розташованого на території відповідного </w:t>
      </w:r>
      <w:proofErr w:type="spellStart"/>
      <w:r w:rsidRPr="004F2BBE">
        <w:rPr>
          <w:color w:val="000000"/>
          <w:lang w:val="uk-UA"/>
        </w:rPr>
        <w:t>старостинського</w:t>
      </w:r>
      <w:proofErr w:type="spellEnd"/>
      <w:r w:rsidRPr="004F2BBE">
        <w:rPr>
          <w:color w:val="000000"/>
          <w:lang w:val="uk-UA"/>
        </w:rPr>
        <w:t xml:space="preserve"> округу, на основі загального, рівного, прямого виборчого права шляхом таємного голосування в порядку, визначеному законом, і здійснює свої повноваження на постійній основі.</w:t>
      </w:r>
    </w:p>
    <w:p w:rsidR="00DB5482" w:rsidRPr="004F2BBE" w:rsidRDefault="00DB5482" w:rsidP="00DB54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2" w:name="n1163"/>
      <w:bookmarkEnd w:id="2"/>
      <w:r w:rsidRPr="004F2BBE">
        <w:rPr>
          <w:color w:val="000000"/>
          <w:lang w:val="uk-UA"/>
        </w:rPr>
        <w:t>3. Повноваження старости починаються з моменту складення ним присяги відповідно до </w:t>
      </w:r>
      <w:r w:rsidRPr="004F2BBE">
        <w:rPr>
          <w:color w:val="000000"/>
          <w:bdr w:val="none" w:sz="0" w:space="0" w:color="auto" w:frame="1"/>
          <w:lang w:val="uk-UA"/>
        </w:rPr>
        <w:t>Закону України</w:t>
      </w:r>
      <w:r w:rsidRPr="004F2BBE">
        <w:rPr>
          <w:color w:val="000000"/>
          <w:lang w:val="uk-UA"/>
        </w:rPr>
        <w:t> </w:t>
      </w:r>
      <w:r>
        <w:rPr>
          <w:color w:val="000000"/>
          <w:lang w:val="uk-UA"/>
        </w:rPr>
        <w:t>«</w:t>
      </w:r>
      <w:r w:rsidRPr="004F2BBE">
        <w:rPr>
          <w:color w:val="000000"/>
          <w:lang w:val="uk-UA"/>
        </w:rPr>
        <w:t>Про службу в органах місцевого самоврядування</w:t>
      </w:r>
      <w:r>
        <w:rPr>
          <w:color w:val="000000"/>
          <w:lang w:val="uk-UA"/>
        </w:rPr>
        <w:t>»</w:t>
      </w:r>
      <w:r w:rsidRPr="004F2BBE">
        <w:rPr>
          <w:color w:val="000000"/>
          <w:lang w:val="uk-UA"/>
        </w:rPr>
        <w:t xml:space="preserve"> на пленарному засіданні відповідної сільської, селищної, міської </w:t>
      </w:r>
      <w:r>
        <w:rPr>
          <w:color w:val="000000"/>
          <w:lang w:val="uk-UA"/>
        </w:rPr>
        <w:t>ради</w:t>
      </w:r>
      <w:r w:rsidRPr="004F2BBE">
        <w:rPr>
          <w:color w:val="000000"/>
          <w:lang w:val="uk-UA"/>
        </w:rPr>
        <w:t>, на якому відповідною територіальною виборчою комісією були оголошені рішення щодо його обрання та реєстрації.</w:t>
      </w:r>
    </w:p>
    <w:p w:rsidR="00DB5482" w:rsidRPr="0020789E" w:rsidRDefault="00DB5482" w:rsidP="00DB5482">
      <w:pPr>
        <w:tabs>
          <w:tab w:val="left" w:pos="851"/>
        </w:tabs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4. С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тароста має гарантоване право виступу на пленарних засіданнях та засіданнях постійних комісій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 з правом дорадчого голосу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5. </w:t>
      </w:r>
      <w:r w:rsidRPr="0020789E">
        <w:rPr>
          <w:color w:val="000000"/>
          <w:lang w:val="uk-UA"/>
        </w:rPr>
        <w:t xml:space="preserve">При здійсненні наданих повноважень староста є підзвітним, підконтрольним і відповідальним перед жителями сіл, селищ, інтереси яких він представляє. Староста є відповідальним перед </w:t>
      </w:r>
      <w:r>
        <w:rPr>
          <w:color w:val="000000"/>
          <w:lang w:val="uk-UA"/>
        </w:rPr>
        <w:t>Тростянецькою селищною</w:t>
      </w:r>
      <w:r w:rsidRPr="0020789E">
        <w:rPr>
          <w:color w:val="000000"/>
          <w:lang w:val="uk-UA"/>
        </w:rPr>
        <w:t xml:space="preserve"> радою.</w:t>
      </w:r>
      <w:bookmarkStart w:id="3" w:name="n1305"/>
      <w:bookmarkEnd w:id="3"/>
    </w:p>
    <w:p w:rsidR="00DB5482" w:rsidRPr="0020789E" w:rsidRDefault="00DB5482" w:rsidP="00DB548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6. </w:t>
      </w:r>
      <w:r w:rsidRPr="0020789E">
        <w:rPr>
          <w:color w:val="000000"/>
          <w:lang w:val="uk-UA"/>
        </w:rPr>
        <w:t xml:space="preserve">Староста не рідше одного разу на рік звітує про свою роботу перед жителями відповідних сіл, селищ на відкритій зустрічі з громадянами. На вимогу не менше половини депутатів сільської, селищної, міської </w:t>
      </w:r>
      <w:r>
        <w:rPr>
          <w:color w:val="000000"/>
          <w:lang w:val="uk-UA"/>
        </w:rPr>
        <w:t>ради</w:t>
      </w:r>
      <w:r w:rsidRPr="0020789E">
        <w:rPr>
          <w:color w:val="000000"/>
          <w:lang w:val="uk-UA"/>
        </w:rPr>
        <w:t xml:space="preserve"> староста інформує раду про свою роботу.</w:t>
      </w:r>
      <w:bookmarkStart w:id="4" w:name="n1306"/>
      <w:bookmarkEnd w:id="4"/>
    </w:p>
    <w:p w:rsidR="00DB5482" w:rsidRPr="00FD16F0" w:rsidRDefault="00DB5482" w:rsidP="00DB548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FF0000"/>
          <w:lang w:val="uk-UA"/>
        </w:rPr>
      </w:pPr>
      <w:r>
        <w:rPr>
          <w:lang w:val="uk-UA"/>
        </w:rPr>
        <w:t xml:space="preserve">       7. </w:t>
      </w:r>
      <w:r w:rsidRPr="004F2BBE">
        <w:rPr>
          <w:lang w:val="uk-UA"/>
        </w:rPr>
        <w:t>Н</w:t>
      </w:r>
      <w:r w:rsidRPr="0020789E">
        <w:rPr>
          <w:lang w:val="uk-UA"/>
        </w:rPr>
        <w:t xml:space="preserve">а </w:t>
      </w:r>
      <w:proofErr w:type="spellStart"/>
      <w:r w:rsidRPr="0020789E">
        <w:rPr>
          <w:lang w:val="uk-UA"/>
        </w:rPr>
        <w:t>старост</w:t>
      </w:r>
      <w:proofErr w:type="spellEnd"/>
      <w:r w:rsidRPr="0020789E">
        <w:rPr>
          <w:lang w:val="uk-UA"/>
        </w:rPr>
        <w:t xml:space="preserve"> поширюються гарантії діяльності депутатів місцевих рад, передбачені </w:t>
      </w:r>
      <w:r w:rsidRPr="00FD16F0">
        <w:rPr>
          <w:bdr w:val="none" w:sz="0" w:space="0" w:color="auto" w:frame="1"/>
          <w:lang w:val="uk-UA"/>
        </w:rPr>
        <w:t>Законом України</w:t>
      </w:r>
      <w:r w:rsidRPr="0020789E">
        <w:rPr>
          <w:lang w:val="uk-UA"/>
        </w:rPr>
        <w:t> «Про статус депутатів місцевих рад», якщо інше не встановлено законом.</w:t>
      </w:r>
      <w:r>
        <w:rPr>
          <w:lang w:val="uk-UA"/>
        </w:rPr>
        <w:t xml:space="preserve"> П</w:t>
      </w:r>
      <w:r w:rsidRPr="00B06807">
        <w:rPr>
          <w:shd w:val="clear" w:color="auto" w:fill="FFFFFF"/>
          <w:lang w:val="uk-UA"/>
        </w:rPr>
        <w:t>орядок організації роботи старости визначається Законом України «Про місцеве самоврядування в Україні» та іншими законами, а також Положенням про старосту</w:t>
      </w:r>
      <w:r w:rsidRPr="00111B2A">
        <w:rPr>
          <w:shd w:val="clear" w:color="auto" w:fill="FFFFFF"/>
          <w:lang w:val="uk-UA"/>
        </w:rPr>
        <w:t>, затвердженим  селищною  радою.</w:t>
      </w: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 xml:space="preserve">ІІ. 4. Постійні комісії </w:t>
      </w:r>
      <w:r>
        <w:rPr>
          <w:b/>
          <w:bCs/>
          <w:color w:val="000000"/>
          <w:lang w:val="uk-UA"/>
        </w:rPr>
        <w:t>ради</w:t>
      </w: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Stattya-1"/>
        <w:spacing w:line="240" w:lineRule="auto"/>
        <w:ind w:firstLine="567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>Стаття 18. Постійні комісії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1. Постійні комісії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є її органами, що утворюються для попереднього розгляду та підготовки питань, які належать до її відання, а також здійснення контрольних повноважень щодо виконання рішень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, діяльності ви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softHyphen/>
        <w:t xml:space="preserve">конавчих органів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у сфері компетенції комісії.</w:t>
      </w:r>
    </w:p>
    <w:p w:rsidR="00DB5482" w:rsidRPr="00194121" w:rsidRDefault="00DB5482" w:rsidP="00DB5482">
      <w:pPr>
        <w:ind w:firstLine="567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Кількість членів комісії не може бути більшою третини складу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меншою трьох депутатів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. Повноваження постійних комісій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, порядок їх створення та діяльності визначаються чинним законодавством, цим Регламентом та Положенням про постійні комісії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  <w:t>ради</w:t>
      </w:r>
      <w:r w:rsidRPr="00194121">
        <w:rPr>
          <w:rFonts w:ascii="Times New Roman" w:hAnsi="Times New Roman" w:cs="Times New Roman"/>
          <w:color w:val="auto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 xml:space="preserve">ІІ. 5. Тимчасові контрольні комісії </w:t>
      </w:r>
      <w:r>
        <w:rPr>
          <w:b/>
          <w:bCs/>
          <w:color w:val="000000"/>
          <w:lang w:val="uk-UA"/>
        </w:rPr>
        <w:t>ради</w:t>
      </w:r>
    </w:p>
    <w:p w:rsidR="00DB5482" w:rsidRPr="0020789E" w:rsidRDefault="00DB5482" w:rsidP="00DB5482">
      <w:pPr>
        <w:pStyle w:val="Rozdily"/>
        <w:spacing w:before="0" w:line="240" w:lineRule="auto"/>
        <w:ind w:firstLine="567"/>
        <w:jc w:val="both"/>
        <w:rPr>
          <w:b/>
          <w:bCs/>
          <w:color w:val="000000"/>
          <w:lang w:val="uk-UA"/>
        </w:rPr>
      </w:pPr>
    </w:p>
    <w:p w:rsidR="00DB5482" w:rsidRPr="0020789E" w:rsidRDefault="00DB5482" w:rsidP="00DB5482">
      <w:pPr>
        <w:pStyle w:val="Stattya-1"/>
        <w:spacing w:line="240" w:lineRule="auto"/>
        <w:ind w:firstLine="567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t xml:space="preserve">Стаття 19. Тимчасові контрольні комісії </w:t>
      </w:r>
      <w:r>
        <w:rPr>
          <w:b/>
          <w:bCs/>
          <w:color w:val="000000"/>
          <w:lang w:val="uk-UA"/>
        </w:rPr>
        <w:t>ради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Рада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може створювати тимчасові контрольні комісії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для підготовки та попереднього розгляду, доопрацювання проектів рішень та інших документів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 питань контролю за дотриманням конкретних рішень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, а також інших конкретних питань, визначених радою, що належать до компетенції місцевого самоврядування громади.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Питання про створення тимчасової контрольної комісії включається окремим пунктом до порядку денного сесії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за ініціативою голови громади або не менш як третиною депутатів від складу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, якщо інше не встановлено цим регламентом.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3. Тимчасова спеціальна комісія здійснює свою діяльність відповідно до порядку, встановленого для постійних комісій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B5482" w:rsidRPr="0020789E" w:rsidRDefault="00DB5482" w:rsidP="00DB5482">
      <w:pPr>
        <w:pStyle w:val="Stattya-1"/>
        <w:spacing w:line="240" w:lineRule="auto"/>
        <w:ind w:firstLine="567"/>
        <w:rPr>
          <w:b/>
          <w:bCs/>
          <w:color w:val="000000"/>
          <w:lang w:val="uk-UA"/>
        </w:rPr>
      </w:pPr>
      <w:r w:rsidRPr="0020789E">
        <w:rPr>
          <w:b/>
          <w:bCs/>
          <w:color w:val="000000"/>
          <w:lang w:val="uk-UA"/>
        </w:rPr>
        <w:lastRenderedPageBreak/>
        <w:t xml:space="preserve">Стаття 20. Створення тимчасової контрольної комісії </w:t>
      </w:r>
      <w:r>
        <w:rPr>
          <w:b/>
          <w:bCs/>
          <w:color w:val="000000"/>
          <w:lang w:val="uk-UA"/>
        </w:rPr>
        <w:t>ради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1. Тимчасова контрольна комісія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утворюється шляхом ухвалення відповідного рішення.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Рішення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про створення тимчасової спеціальної комісії має визначати: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1) назву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2) завдання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3) кількісний склад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4) обраного радою голову (співголів)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5) персональний склад членів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6) термін діяльності комісії (на заздалегідь визначений час або на час виконання певної роботи);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7) додаткові права у межах чинного законодавства (якщо це необхідно), надані радою цій комісії;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8) обсяг коштів (та їх джерела), попередньо виділених у розпорядження комісії для оплати робіт чи послуг, виконаних або наданих юридичними і фізичними особами, залученими комісією для виконання завдання;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9) заходи щодо кадрового, матеріально-технічного, інформаційного, організаційного забезпечення роботи комісії.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3. Головою або членом тимчасової контрольної комісії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не може бути депутат, щодо якого може мати місце конфлікт інтересів, а саме: комісія розглядає питання, що стосується діяльності депутата, пов'язаних з ним ос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softHyphen/>
        <w:t>іб в розумінні українського законодавства або юридичних осіб, до керівництва якими чи щодо власності над якими він або пов'язані з ним особи мають безпосереднє відношення.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4. Тимчасова контрольна комісія обирається з числа депутатів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, які дали на це згоду і які відповідають вимогам ч. 3 цієї статті. У складі тимчасової контрольної комісії мають бути представлені за їх бажанням усі депутатські фракції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5. Голосування щодо утворення та персонального складу кожної тимчасової контрольної комісії здійснюється окремо.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6. На підставі заяви депутата, який входить до складу тимчасової контрольної комісії, він звільняється секретарем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від обов'язку бути присутнім на засіданнях постійної комісії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, членом якої він є, і його відсутність з цієї причини не впливає на кворум у постійній комісії.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7. У разі необхідності на час роботи в тимчасовій контрольній комісії депутат може тимчасово звільнятися від виконання своїх обов'язків за основним місцем праці з відповідною компенсацією, передбаченою законодав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ством за участь у роботі 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її органах.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B5482" w:rsidRPr="0020789E" w:rsidRDefault="00DB5482" w:rsidP="00DB5482">
      <w:pPr>
        <w:keepNext/>
        <w:ind w:firstLine="567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b/>
          <w:bCs/>
          <w:spacing w:val="0"/>
          <w:sz w:val="24"/>
          <w:szCs w:val="24"/>
          <w:lang w:val="uk-UA"/>
        </w:rPr>
        <w:t>Стаття 21. Припинення повноважень тимчасової контрольної комісії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1. Тимчасова контрольна комісія у визначений радою термін подає раді звіт про виконану роботу, а також підготовлені нею проекти рішень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інші матеріали, які поширюються серед депутатів.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2. Після обговорення результатів роботи тимчасової контрольної комісії в постійних комісіях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ради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та на пленарному засіданні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рада</w:t>
      </w: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приймає щодо цих результатів остаточне рішення або доручає комісії продовжити роботу і визначає для цього новий термін.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0789E">
        <w:rPr>
          <w:rFonts w:ascii="Times New Roman" w:hAnsi="Times New Roman" w:cs="Times New Roman"/>
          <w:spacing w:val="0"/>
          <w:sz w:val="24"/>
          <w:szCs w:val="24"/>
          <w:lang w:val="uk-UA"/>
        </w:rPr>
        <w:t>3. Повноваження тимчасової контрольної комісії припиняються з прийняттям радою остаточного рішення щодо результатів роботи цієї комісії.</w:t>
      </w:r>
    </w:p>
    <w:p w:rsidR="00DB5482" w:rsidRPr="0020789E" w:rsidRDefault="00DB5482" w:rsidP="00DB5482">
      <w:pPr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8C502B" w:rsidRPr="00DB5482" w:rsidRDefault="008C502B">
      <w:pPr>
        <w:rPr>
          <w:lang w:val="uk-UA"/>
        </w:rPr>
      </w:pPr>
    </w:p>
    <w:sectPr w:rsidR="008C502B" w:rsidRPr="00DB5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A31"/>
    <w:multiLevelType w:val="hybridMultilevel"/>
    <w:tmpl w:val="D82A3F7C"/>
    <w:lvl w:ilvl="0" w:tplc="EADA69F8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9AF38F2"/>
    <w:multiLevelType w:val="hybridMultilevel"/>
    <w:tmpl w:val="7DC674E2"/>
    <w:lvl w:ilvl="0" w:tplc="6966F444">
      <w:start w:val="1"/>
      <w:numFmt w:val="decimal"/>
      <w:lvlText w:val="%1."/>
      <w:lvlJc w:val="left"/>
      <w:pPr>
        <w:ind w:left="1383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4786A62"/>
    <w:multiLevelType w:val="hybridMultilevel"/>
    <w:tmpl w:val="DAD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AC032E">
      <w:start w:val="1"/>
      <w:numFmt w:val="decimal"/>
      <w:lvlText w:val="%2)"/>
      <w:lvlJc w:val="left"/>
      <w:pPr>
        <w:ind w:left="597" w:firstLine="483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2"/>
    <w:rsid w:val="00583314"/>
    <w:rsid w:val="008C502B"/>
    <w:rsid w:val="00DA698D"/>
    <w:rsid w:val="00DB5482"/>
    <w:rsid w:val="00DD24E2"/>
    <w:rsid w:val="00E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111A-F9EC-4F79-BDD1-696B91C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82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tya-1">
    <w:name w:val="Stattya-1"/>
    <w:uiPriority w:val="99"/>
    <w:rsid w:val="00DB5482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zdily">
    <w:name w:val="Rozdily"/>
    <w:uiPriority w:val="99"/>
    <w:rsid w:val="00DB5482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DB54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HTML">
    <w:name w:val="HTML Preformatted"/>
    <w:aliases w:val="Знак2"/>
    <w:basedOn w:val="a"/>
    <w:link w:val="HTML0"/>
    <w:uiPriority w:val="99"/>
    <w:rsid w:val="00DB54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color w:val="auto"/>
      <w:spacing w:val="0"/>
      <w:lang w:val="uk-UA" w:eastAsia="uk-UA"/>
    </w:rPr>
  </w:style>
  <w:style w:type="character" w:customStyle="1" w:styleId="HTML0">
    <w:name w:val="Стандартний HTML Знак"/>
    <w:aliases w:val="Знак2 Знак"/>
    <w:basedOn w:val="a0"/>
    <w:link w:val="HTML"/>
    <w:uiPriority w:val="99"/>
    <w:rsid w:val="00DB5482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10045</Words>
  <Characters>5726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2018-07-16T05:42:00Z</dcterms:created>
  <dcterms:modified xsi:type="dcterms:W3CDTF">2018-07-16T05:42:00Z</dcterms:modified>
</cp:coreProperties>
</file>